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6</w:t>
      </w:r>
    </w:p>
    <w:p>
      <w:pPr>
        <w:spacing w:after="120"/>
        <w:jc w:val="center"/>
      </w:pPr>
      <w:r>
        <w:rPr>
          <w:b/>
          <w:bCs/>
          <w:i w:val="false"/>
          <w:iCs w:val="false"/>
          <w:color w:val="1B2A4A"/>
          <w:sz w:val="32"/>
          <w:szCs w:val="32"/>
          <w:caps w:val="false"/>
          <w:rFonts w:ascii="Calibri" w:cs="Calibri" w:eastAsia="Calibri" w:hAnsi="Calibri"/>
        </w:rPr>
        <w:t xml:space="preserve">Civil Liberties</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GC.23–GC.27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in Court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Second Amendment in Court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of the Accused (4th–8th Amendments)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GC.26</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 Equal Protection &amp; Due Process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GC.27</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for the Underserved</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do the courts decide where your rights end and the government's power begins?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GC.23 — The First Amendment in Court</w:t>
      </w:r>
    </w:p>
    <w:p>
      <w:pPr>
        <w:spacing w:after="60"/>
      </w:pPr>
      <w:r>
        <w:rPr>
          <w:b/>
          <w:bCs/>
          <w:i w:val="false"/>
          <w:iCs w:val="false"/>
          <w:color w:val="1A1A1A"/>
          <w:sz w:val="22"/>
          <w:szCs w:val="22"/>
          <w:caps w:val="false"/>
          <w:rFonts w:ascii="Calibri" w:cs="Calibri" w:eastAsia="Calibri" w:hAnsi="Calibri"/>
        </w:rPr>
        <w:t xml:space="preserve">TN Academic Standard GC.23: </w:t>
      </w:r>
      <w:r>
        <w:rPr>
          <w:b w:val="false"/>
          <w:bCs w:val="false"/>
          <w:i w:val="false"/>
          <w:iCs w:val="false"/>
          <w:color w:val="1A1A1A"/>
          <w:sz w:val="22"/>
          <w:szCs w:val="22"/>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evaluate how the Supreme Court has interpreted the First Amendment freedoms..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peligro claro y presente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establecimiento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expresión simbólica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Clear and Present Danger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Establishment Clause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Symbolic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GC.23</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Symbolic Speech</w:t>
            </w:r>
            <w:r>
              <w:rPr>
                <w:b w:val="false"/>
                <w:bCs w:val="false"/>
                <w:i w:val="false"/>
                <w:iCs w:val="false"/>
                <w:color w:val="D9D5C8"/>
                <w:sz w:val="18"/>
                <w:szCs w:val="18"/>
                <w:caps w:val="false"/>
                <w:rFonts w:ascii="Calibri" w:cs="Calibri" w:eastAsia="Calibri" w:hAnsi="Calibri"/>
              </w:rPr>
              <w:t xml:space="preserve">      ·   ES: expresión simbólica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Actions that express an idea — like wearing an armband (Tinker) or burning a flag (Texas v. Johnson) — that the First Amendment can protect.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“Symbolic Speech”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Establishment Clause</w:t>
            </w:r>
            <w:r>
              <w:rPr>
                <w:b w:val="false"/>
                <w:bCs w:val="false"/>
                <w:i w:val="false"/>
                <w:iCs w:val="false"/>
                <w:color w:val="D9D5C8"/>
                <w:sz w:val="18"/>
                <w:szCs w:val="18"/>
                <w:caps w:val="false"/>
                <w:rFonts w:ascii="Calibri" w:cs="Calibri" w:eastAsia="Calibri" w:hAnsi="Calibri"/>
              </w:rPr>
              <w:t xml:space="preserve">      ·   ES: cláusula de establecimiento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Amendment ban on the government establishing or favoring a religion, central to Engel v. Vitale and Lemon v. Kurtzman.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“Establishment Clause”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Clear and Present Danger · Establishment Clause · Symbolic Speech</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21"/>
                <w:szCs w:val="21"/>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21"/>
                <w:szCs w:val="21"/>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21"/>
                <w:szCs w:val="21"/>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21"/>
                <w:szCs w:val="21"/>
                <w:caps w:val="false"/>
                <w:rFonts w:ascii="Calibri" w:cs="Calibri" w:eastAsia="Calibri" w:hAnsi="Calibri"/>
              </w:rPr>
              <w:t xml:space="preserve">D.   Only teachers, not students, have free-speech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first amendment in court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Clear and Present Danger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Establishment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Symbolic Speech</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 How can burning a flag (Texas v. Johnson) be protected 'speech'?</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3. How can burning a flag (Texas v. Johnson) be protected 'speech'?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GC.23</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u6-gc23-dok1-1 · pre-field-test]</w:t>
      </w:r>
    </w:p>
    <w:p>
      <w:pPr>
        <w:spacing w:after="100"/>
      </w:pPr>
      <w:r>
        <w:rPr>
          <w:b/>
          <w:bCs/>
          <w:i w:val="false"/>
          <w:iCs w:val="false"/>
          <w:color w:val="1A1A1A"/>
          <w:sz w:val="21"/>
          <w:szCs w:val="21"/>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20"/>
          <w:szCs w:val="20"/>
          <w:caps w:val="false"/>
          <w:rFonts w:ascii="Calibri" w:cs="Calibri" w:eastAsia="Calibri" w:hAnsi="Calibri"/>
        </w:rPr>
        <w:t xml:space="preserve">A. Tinker v. Des Moines</w:t>
      </w:r>
    </w:p>
    <w:p>
      <w:pPr>
        <w:spacing w:after="20"/>
        <w:ind w:left="260"/>
      </w:pPr>
      <w:r>
        <w:rPr>
          <w:b w:val="false"/>
          <w:bCs w:val="false"/>
          <w:i w:val="false"/>
          <w:iCs w:val="false"/>
          <w:color w:val="1A1A1A"/>
          <w:sz w:val="20"/>
          <w:szCs w:val="20"/>
          <w:caps w:val="false"/>
          <w:rFonts w:ascii="Calibri" w:cs="Calibri" w:eastAsia="Calibri" w:hAnsi="Calibri"/>
        </w:rPr>
        <w:t xml:space="preserve">B. Schenck v. United States</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Texas v. Johnson</w:t>
      </w:r>
    </w:p>
    <w:p>
      <w:pPr>
        <w:spacing w:after="100"/>
      </w:pPr>
      <w:r>
        <w:rPr>
          <w:b/>
          <w:bCs/>
          <w:i w:val="false"/>
          <w:iCs w:val="false"/>
          <w:color w:val="6B7280"/>
          <w:sz w:val="18"/>
          <w:szCs w:val="18"/>
          <w:caps w:val="false"/>
          <w:rFonts w:ascii="Calibri" w:cs="Calibri" w:eastAsia="Calibri" w:hAnsi="Calibri"/>
        </w:rPr>
        <w:t xml:space="preserve">[DOK 3 · item u1-gc23-dok3-tc · pre-field-test]</w:t>
      </w:r>
    </w:p>
    <w:p>
      <w:pPr>
        <w:spacing w:after="100"/>
      </w:pPr>
      <w:r>
        <w:rPr>
          <w:b/>
          <w:bCs/>
          <w:i w:val="false"/>
          <w:iCs w:val="false"/>
          <w:color w:val="1A1A1A"/>
          <w:sz w:val="21"/>
          <w:szCs w:val="21"/>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20"/>
          <w:szCs w:val="2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20"/>
          <w:szCs w:val="2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20"/>
          <w:szCs w:val="2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20"/>
          <w:szCs w:val="2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GC.23</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GC.24 — The Second Amendment in Court</w:t>
      </w:r>
    </w:p>
    <w:p>
      <w:pPr>
        <w:spacing w:after="60"/>
      </w:pPr>
      <w:r>
        <w:rPr>
          <w:b/>
          <w:bCs/>
          <w:i w:val="false"/>
          <w:iCs w:val="false"/>
          <w:color w:val="1A1A1A"/>
          <w:sz w:val="22"/>
          <w:szCs w:val="22"/>
          <w:caps w:val="false"/>
          <w:rFonts w:ascii="Calibri" w:cs="Calibri" w:eastAsia="Calibri" w:hAnsi="Calibri"/>
        </w:rPr>
        <w:t xml:space="preserve">TN Academic Standard GC.24: </w:t>
      </w:r>
      <w:r>
        <w:rPr>
          <w:b w:val="false"/>
          <w:bCs w:val="false"/>
          <w:i w:val="false"/>
          <w:iCs w:val="false"/>
          <w:color w:val="1A1A1A"/>
          <w:sz w:val="22"/>
          <w:szCs w:val="22"/>
          <w:caps w:val="false"/>
          <w:rFonts w:ascii="Calibri" w:cs="Calibri" w:eastAsia="Calibri" w:hAnsi="Calibri"/>
        </w:rPr>
        <w:t xml:space="preserve">Explain the 2nd Amendment and evaluate its various interpretations.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the Second Amendment and evaluate how the Supreme Court has interpreted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Segunda Enmienda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individual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incorporación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Second 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Individual Right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GC.24</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Individual Right</w:t>
            </w:r>
            <w:r>
              <w:rPr>
                <w:b w:val="false"/>
                <w:bCs w:val="false"/>
                <w:i w:val="false"/>
                <w:iCs w:val="false"/>
                <w:color w:val="D9D5C8"/>
                <w:sz w:val="18"/>
                <w:szCs w:val="18"/>
                <w:caps w:val="false"/>
                <w:rFonts w:ascii="Calibri" w:cs="Calibri" w:eastAsia="Calibri" w:hAnsi="Calibri"/>
              </w:rPr>
              <w:t xml:space="preserve">      ·   ES: derecho individual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right held by each person, not only by a group; District of Columbia v. Heller (2008) read the Second Amendment as an individual right.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“Individual Right”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w:t>
            </w:r>
            <w:r>
              <w:rPr>
                <w:b w:val="false"/>
                <w:bCs w:val="false"/>
                <w:i w:val="false"/>
                <w:iCs w:val="false"/>
                <w:color w:val="D9D5C8"/>
                <w:sz w:val="18"/>
                <w:szCs w:val="18"/>
                <w:caps w:val="false"/>
                <w:rFonts w:ascii="Calibri" w:cs="Calibri" w:eastAsia="Calibri" w:hAnsi="Calibri"/>
              </w:rPr>
              <w:t xml:space="preserve">      ·   ES: incorporación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Applying a Bill of Rights protection to the states through the 14th Amendment; McDonald v. Chicago (2010) incorporated the Second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Second Amendment · Individual Right · Incorporation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21"/>
                <w:szCs w:val="21"/>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21"/>
                <w:szCs w:val="21"/>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21"/>
                <w:szCs w:val="21"/>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21"/>
                <w:szCs w:val="21"/>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second amendment in court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Second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Individual Right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 The Court said the right is 'not unlimited' — what kinds of regulation might still be allowed?</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GC.24</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u6-gc24-dok1-1 · pre-field-test]</w:t>
      </w:r>
    </w:p>
    <w:p>
      <w:pPr>
        <w:spacing w:after="100"/>
      </w:pPr>
      <w:r>
        <w:rPr>
          <w:b/>
          <w:bCs/>
          <w:i w:val="false"/>
          <w:iCs w:val="false"/>
          <w:color w:val="1A1A1A"/>
          <w:sz w:val="21"/>
          <w:szCs w:val="21"/>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20"/>
          <w:szCs w:val="20"/>
          <w:caps w:val="false"/>
          <w:rFonts w:ascii="Calibri" w:cs="Calibri" w:eastAsia="Calibri" w:hAnsi="Calibri"/>
        </w:rPr>
        <w:t xml:space="preserve">A. McDonald v. Chicago</w:t>
      </w:r>
    </w:p>
    <w:p>
      <w:pPr>
        <w:spacing w:after="20"/>
        <w:ind w:left="260"/>
      </w:pPr>
      <w:r>
        <w:rPr>
          <w:b w:val="false"/>
          <w:bCs w:val="false"/>
          <w:i w:val="false"/>
          <w:iCs w:val="false"/>
          <w:color w:val="1A1A1A"/>
          <w:sz w:val="20"/>
          <w:szCs w:val="20"/>
          <w:caps w:val="false"/>
          <w:rFonts w:ascii="Calibri" w:cs="Calibri" w:eastAsia="Calibri" w:hAnsi="Calibri"/>
        </w:rPr>
        <w:t xml:space="preserve">B.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2 · item u1-gc24-dok2-tc · pre-field-test]</w:t>
      </w:r>
    </w:p>
    <w:p>
      <w:pPr>
        <w:spacing w:after="100"/>
      </w:pPr>
      <w:r>
        <w:rPr>
          <w:b/>
          <w:bCs/>
          <w:i w:val="false"/>
          <w:iCs w:val="false"/>
          <w:color w:val="1A1A1A"/>
          <w:sz w:val="21"/>
          <w:szCs w:val="21"/>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20"/>
          <w:szCs w:val="2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20"/>
          <w:szCs w:val="2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20"/>
          <w:szCs w:val="2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GC.24</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GC.25 — Rights of the Accused (4th–8th Amendments)</w:t>
      </w:r>
    </w:p>
    <w:p>
      <w:pPr>
        <w:spacing w:after="60"/>
      </w:pPr>
      <w:r>
        <w:rPr>
          <w:b/>
          <w:bCs/>
          <w:i w:val="false"/>
          <w:iCs w:val="false"/>
          <w:color w:val="1A1A1A"/>
          <w:sz w:val="22"/>
          <w:szCs w:val="22"/>
          <w:caps w:val="false"/>
          <w:rFonts w:ascii="Calibri" w:cs="Calibri" w:eastAsia="Calibri" w:hAnsi="Calibri"/>
        </w:rPr>
        <w:t xml:space="preserve">TN Academic Standard GC.25: </w:t>
      </w:r>
      <w:r>
        <w:rPr>
          <w:b w:val="false"/>
          <w:bCs w:val="false"/>
          <w:i w:val="false"/>
          <w:iCs w:val="false"/>
          <w:color w:val="1A1A1A"/>
          <w:sz w:val="22"/>
          <w:szCs w:val="22"/>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evaluate how the Supreme Court has protected the rights of the accused under the 4th through 8th Amendments..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exclusión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a un abogado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Miranda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Exclusionary Rule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Right to Counsel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Miranda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GC.25</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Exclusionary Rule</w:t>
            </w:r>
            <w:r>
              <w:rPr>
                <w:b w:val="false"/>
                <w:bCs w:val="false"/>
                <w:i w:val="false"/>
                <w:iCs w:val="false"/>
                <w:color w:val="D9D5C8"/>
                <w:sz w:val="18"/>
                <w:szCs w:val="18"/>
                <w:caps w:val="false"/>
                <w:rFonts w:ascii="Calibri" w:cs="Calibri" w:eastAsia="Calibri" w:hAnsi="Calibri"/>
              </w:rPr>
              <w:t xml:space="preserve">      ·   ES: regla de exclusión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rule from Mapp v. Ohio (1961) that evidence obtained by an illegal search cannot be used in court — enforcing the 4th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“Exclusionary Rule”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Miranda Rights</w:t>
            </w:r>
            <w:r>
              <w:rPr>
                <w:b w:val="false"/>
                <w:bCs w:val="false"/>
                <w:i w:val="false"/>
                <w:iCs w:val="false"/>
                <w:color w:val="D9D5C8"/>
                <w:sz w:val="18"/>
                <w:szCs w:val="18"/>
                <w:caps w:val="false"/>
                <w:rFonts w:ascii="Calibri" w:cs="Calibri" w:eastAsia="Calibri" w:hAnsi="Calibri"/>
              </w:rPr>
              <w:t xml:space="preserve">      ·   ES: derechos Miranda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warnings police must give before questioning — the right to remain silent and to an attorney — from Miranda v. Arizona (1966).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“Miranda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Exclusionary Rule · Right to Counsel · Miranda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21"/>
                <w:szCs w:val="21"/>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21"/>
                <w:szCs w:val="21"/>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21"/>
                <w:szCs w:val="21"/>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21"/>
                <w:szCs w:val="21"/>
                <w:caps w:val="false"/>
                <w:rFonts w:ascii="Calibri" w:cs="Calibri" w:eastAsia="Calibri" w:hAnsi="Calibri"/>
              </w:rPr>
              <w:t xml:space="preserve">D.   Trials may be held in secret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of the accused (4th–8th amendments)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Exclusionary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Right to Counsel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Miranda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 Why must police read 'Miranda rights,' and which amendment protects it?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2.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GC.25</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u6-gc25-dok1-1 · pre-field-test]</w:t>
      </w:r>
    </w:p>
    <w:p>
      <w:pPr>
        <w:spacing w:after="100"/>
      </w:pPr>
      <w:r>
        <w:rPr>
          <w:b/>
          <w:bCs/>
          <w:i w:val="false"/>
          <w:iCs w:val="false"/>
          <w:color w:val="1A1A1A"/>
          <w:sz w:val="21"/>
          <w:szCs w:val="21"/>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20"/>
          <w:szCs w:val="20"/>
          <w:caps w:val="false"/>
          <w:rFonts w:ascii="Calibri" w:cs="Calibri" w:eastAsia="Calibri" w:hAnsi="Calibri"/>
        </w:rPr>
        <w:t xml:space="preserve">A. Mapp v. Ohio</w:t>
      </w:r>
    </w:p>
    <w:p>
      <w:pPr>
        <w:spacing w:after="20"/>
        <w:ind w:left="260"/>
      </w:pPr>
      <w:r>
        <w:rPr>
          <w:b w:val="false"/>
          <w:bCs w:val="false"/>
          <w:i w:val="false"/>
          <w:iCs w:val="false"/>
          <w:color w:val="1A1A1A"/>
          <w:sz w:val="20"/>
          <w:szCs w:val="20"/>
          <w:caps w:val="false"/>
          <w:rFonts w:ascii="Calibri" w:cs="Calibri" w:eastAsia="Calibri" w:hAnsi="Calibri"/>
        </w:rPr>
        <w:t xml:space="preserve">B. Gideon v. Wainwright</w:t>
      </w:r>
    </w:p>
    <w:p>
      <w:pPr>
        <w:spacing w:after="20"/>
        <w:ind w:left="260"/>
      </w:pPr>
      <w:r>
        <w:rPr>
          <w:b w:val="false"/>
          <w:bCs w:val="false"/>
          <w:i w:val="false"/>
          <w:iCs w:val="false"/>
          <w:color w:val="1A1A1A"/>
          <w:sz w:val="20"/>
          <w:szCs w:val="20"/>
          <w:caps w:val="false"/>
          <w:rFonts w:ascii="Calibri" w:cs="Calibri" w:eastAsia="Calibri" w:hAnsi="Calibri"/>
        </w:rPr>
        <w:t xml:space="preserve">C.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D. Brown v. Board of Education</w:t>
      </w:r>
    </w:p>
    <w:p>
      <w:pPr>
        <w:spacing w:after="100"/>
      </w:pPr>
      <w:r>
        <w:rPr>
          <w:b/>
          <w:bCs/>
          <w:i w:val="false"/>
          <w:iCs w:val="false"/>
          <w:color w:val="6B7280"/>
          <w:sz w:val="18"/>
          <w:szCs w:val="18"/>
          <w:caps w:val="false"/>
          <w:rFonts w:ascii="Calibri" w:cs="Calibri" w:eastAsia="Calibri" w:hAnsi="Calibri"/>
        </w:rPr>
        <w:t xml:space="preserve">[DOK 2 · item u1-gc25-dok2-tc · pre-field-test]</w:t>
      </w:r>
    </w:p>
    <w:p>
      <w:pPr>
        <w:spacing w:after="100"/>
      </w:pPr>
      <w:r>
        <w:rPr>
          <w:b/>
          <w:bCs/>
          <w:i w:val="false"/>
          <w:iCs w:val="false"/>
          <w:color w:val="1A1A1A"/>
          <w:sz w:val="21"/>
          <w:szCs w:val="21"/>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20"/>
          <w:szCs w:val="2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20"/>
          <w:szCs w:val="2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20"/>
          <w:szCs w:val="2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20"/>
          <w:szCs w:val="20"/>
          <w:caps w:val="false"/>
          <w:rFonts w:ascii="Calibri" w:cs="Calibri" w:eastAsia="Calibri" w:hAnsi="Calibri"/>
        </w:rPr>
        <w:t xml:space="preserve">D. Trials may be held in secret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GC.25</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22"/>
          <w:szCs w:val="22"/>
          <w:caps w:val="false"/>
          <w:rFonts w:ascii="Calibri" w:cs="Calibri" w:eastAsia="Calibri" w:hAnsi="Calibri"/>
        </w:rPr>
        <w:t xml:space="preserve">TN Academic Standard GC.26: </w:t>
      </w:r>
      <w:r>
        <w:rPr>
          <w:b w:val="false"/>
          <w:bCs w:val="false"/>
          <w:i w:val="false"/>
          <w:iCs w:val="false"/>
          <w:color w:val="1A1A1A"/>
          <w:sz w:val="22"/>
          <w:szCs w:val="22"/>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evaluate how the Supreme Court has interpreted the 14th Amendment's equal protection and due process clauses..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Equal Protection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same 14th Amendment once allowed 'separate but equal' — and later ended it. How can the identical words mean opposite things fifty years apart?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igual protección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doctrina de incorporación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Equal Protection Clause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 Doctrine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GC.26</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Equal Protection Clause</w:t>
            </w:r>
            <w:r>
              <w:rPr>
                <w:b w:val="false"/>
                <w:bCs w:val="false"/>
                <w:i w:val="false"/>
                <w:iCs w:val="false"/>
                <w:color w:val="D9D5C8"/>
                <w:sz w:val="18"/>
                <w:szCs w:val="18"/>
                <w:caps w:val="false"/>
                <w:rFonts w:ascii="Calibri" w:cs="Calibri" w:eastAsia="Calibri" w:hAnsi="Calibri"/>
              </w:rPr>
              <w:t xml:space="preserve">      ·   ES: cláusula de igual protección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14th Amendment guarantee that no state may 'deny to any person… the equal protection of the laws' — the basis of Brown v. Board.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“Equal Protection Clause”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 Doctrine</w:t>
            </w:r>
            <w:r>
              <w:rPr>
                <w:b w:val="false"/>
                <w:bCs w:val="false"/>
                <w:i w:val="false"/>
                <w:iCs w:val="false"/>
                <w:color w:val="D9D5C8"/>
                <w:sz w:val="18"/>
                <w:szCs w:val="18"/>
                <w:caps w:val="false"/>
                <w:rFonts w:ascii="Calibri" w:cs="Calibri" w:eastAsia="Calibri" w:hAnsi="Calibri"/>
              </w:rPr>
              <w:t xml:space="preserve">      ·   ES: doctrina de incorporación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the 14th Amendment applies most Bill of Rights protections to the states; Gitlow v. New York (1925) was an early step.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Doctrine”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Equal Protection Clause · Due Process · Incorporation Doctrine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21"/>
                <w:szCs w:val="21"/>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21"/>
                <w:szCs w:val="21"/>
                <w:caps w:val="false"/>
                <w:rFonts w:ascii="Calibri" w:cs="Calibri" w:eastAsia="Calibri" w:hAnsi="Calibri"/>
              </w:rPr>
              <w:t xml:space="preserve">B.   It ended the 14th Amendment</w:t>
            </w:r>
          </w:p>
          <w:p>
            <w:pPr>
              <w:spacing w:after="30"/>
              <w:ind w:left="360"/>
            </w:pPr>
            <w:r>
              <w:rPr>
                <w:b w:val="false"/>
                <w:bCs w:val="false"/>
                <w:i w:val="false"/>
                <w:iCs w:val="false"/>
                <w:color w:val="1A1A1A"/>
                <w:sz w:val="21"/>
                <w:szCs w:val="21"/>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21"/>
                <w:szCs w:val="21"/>
                <w:caps w:val="false"/>
                <w:rFonts w:ascii="Calibri" w:cs="Calibri" w:eastAsia="Calibri" w:hAnsi="Calibri"/>
              </w:rPr>
              <w:t xml:space="preserve">D.   It applied only to colleges, not public schools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Equal Protection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 Doctrine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 What does 'incorporation' mean, and how did Gitlow start it?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3. What does 'incorporation' mean, and how did Gitlow start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GC.26</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u6-gc26-dok1-1 · pre-field-test]</w:t>
      </w:r>
    </w:p>
    <w:p>
      <w:pPr>
        <w:spacing w:after="100"/>
      </w:pPr>
      <w:r>
        <w:rPr>
          <w:b/>
          <w:bCs/>
          <w:i w:val="false"/>
          <w:iCs w:val="false"/>
          <w:color w:val="1A1A1A"/>
          <w:sz w:val="21"/>
          <w:szCs w:val="21"/>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20"/>
          <w:szCs w:val="20"/>
          <w:caps w:val="false"/>
          <w:rFonts w:ascii="Calibri" w:cs="Calibri" w:eastAsia="Calibri" w:hAnsi="Calibri"/>
        </w:rPr>
        <w:t xml:space="preserve">A. Plessy v. Ferguson</w:t>
      </w:r>
    </w:p>
    <w:p>
      <w:pPr>
        <w:spacing w:after="20"/>
        <w:ind w:left="260"/>
      </w:pPr>
      <w:r>
        <w:rPr>
          <w:b w:val="false"/>
          <w:bCs w:val="false"/>
          <w:i w:val="false"/>
          <w:iCs w:val="false"/>
          <w:color w:val="1A1A1A"/>
          <w:sz w:val="20"/>
          <w:szCs w:val="20"/>
          <w:caps w:val="false"/>
          <w:rFonts w:ascii="Calibri" w:cs="Calibri" w:eastAsia="Calibri" w:hAnsi="Calibri"/>
        </w:rPr>
        <w:t xml:space="preserve">B. Brown v. Board of Education</w:t>
      </w:r>
    </w:p>
    <w:p>
      <w:pPr>
        <w:spacing w:after="20"/>
        <w:ind w:left="260"/>
      </w:pPr>
      <w:r>
        <w:rPr>
          <w:b w:val="false"/>
          <w:bCs w:val="false"/>
          <w:i w:val="false"/>
          <w:iCs w:val="false"/>
          <w:color w:val="1A1A1A"/>
          <w:sz w:val="20"/>
          <w:szCs w:val="20"/>
          <w:caps w:val="false"/>
          <w:rFonts w:ascii="Calibri" w:cs="Calibri" w:eastAsia="Calibri" w:hAnsi="Calibri"/>
        </w:rPr>
        <w:t xml:space="preserve">C. Gitlow v. New York</w:t>
      </w:r>
    </w:p>
    <w:p>
      <w:pPr>
        <w:spacing w:after="20"/>
        <w:ind w:left="260"/>
      </w:pPr>
      <w:r>
        <w:rPr>
          <w:b w:val="false"/>
          <w:bCs w:val="false"/>
          <w:i w:val="false"/>
          <w:iCs w:val="false"/>
          <w:color w:val="1A1A1A"/>
          <w:sz w:val="20"/>
          <w:szCs w:val="20"/>
          <w:caps w:val="false"/>
          <w:rFonts w:ascii="Calibri" w:cs="Calibri" w:eastAsia="Calibri" w:hAnsi="Calibri"/>
        </w:rPr>
        <w:t xml:space="preserve">D. Schenck v. United States</w:t>
      </w:r>
    </w:p>
    <w:p>
      <w:pPr>
        <w:spacing w:after="100"/>
      </w:pPr>
      <w:r>
        <w:rPr>
          <w:b/>
          <w:bCs/>
          <w:i w:val="false"/>
          <w:iCs w:val="false"/>
          <w:color w:val="6B7280"/>
          <w:sz w:val="18"/>
          <w:szCs w:val="18"/>
          <w:caps w:val="false"/>
          <w:rFonts w:ascii="Calibri" w:cs="Calibri" w:eastAsia="Calibri" w:hAnsi="Calibri"/>
        </w:rPr>
        <w:t xml:space="preserve">[DOK 3 · item u1-gc26-dok3-tc · pre-field-test]</w:t>
      </w:r>
    </w:p>
    <w:p>
      <w:pPr>
        <w:spacing w:after="100"/>
      </w:pPr>
      <w:r>
        <w:rPr>
          <w:b/>
          <w:bCs/>
          <w:i w:val="false"/>
          <w:iCs w:val="false"/>
          <w:color w:val="1A1A1A"/>
          <w:sz w:val="21"/>
          <w:szCs w:val="21"/>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20"/>
          <w:szCs w:val="2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20"/>
          <w:szCs w:val="20"/>
          <w:caps w:val="false"/>
          <w:rFonts w:ascii="Calibri" w:cs="Calibri" w:eastAsia="Calibri" w:hAnsi="Calibri"/>
        </w:rPr>
        <w:t xml:space="preserve">B. It ended the 14th Amendment</w:t>
      </w:r>
    </w:p>
    <w:p>
      <w:pPr>
        <w:spacing w:after="20"/>
        <w:ind w:left="260"/>
      </w:pPr>
      <w:r>
        <w:rPr>
          <w:b w:val="false"/>
          <w:bCs w:val="false"/>
          <w:i w:val="false"/>
          <w:iCs w:val="false"/>
          <w:color w:val="1A1A1A"/>
          <w:sz w:val="20"/>
          <w:szCs w:val="2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20"/>
          <w:szCs w:val="2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GC.26</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GC.27 — Rights for the Underserved</w:t>
      </w:r>
    </w:p>
    <w:p>
      <w:pPr>
        <w:spacing w:after="60"/>
      </w:pPr>
      <w:r>
        <w:rPr>
          <w:b/>
          <w:bCs/>
          <w:i w:val="false"/>
          <w:iCs w:val="false"/>
          <w:color w:val="1A1A1A"/>
          <w:sz w:val="22"/>
          <w:szCs w:val="22"/>
          <w:caps w:val="false"/>
          <w:rFonts w:ascii="Calibri" w:cs="Calibri" w:eastAsia="Calibri" w:hAnsi="Calibri"/>
        </w:rPr>
        <w:t xml:space="preserve">TN Academic Standard GC.27: </w:t>
      </w:r>
      <w:r>
        <w:rPr>
          <w:b w:val="false"/>
          <w:bCs w:val="false"/>
          <w:i w:val="false"/>
          <w:iCs w:val="false"/>
          <w:color w:val="1A1A1A"/>
          <w:sz w:val="22"/>
          <w:szCs w:val="22"/>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legislation and legal precedents that expanded rights for underserved groups, including Title IX and the ADA..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Título IX</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Ley de Estadounidenses con Discapacidades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Title IX</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Americans with Disabilities Act (ADA)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GC.27</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Title IX</w:t>
            </w:r>
            <w:r>
              <w:rPr>
                <w:b w:val="false"/>
                <w:bCs w:val="false"/>
                <w:i w:val="false"/>
                <w:iCs w:val="false"/>
                <w:color w:val="D9D5C8"/>
                <w:sz w:val="18"/>
                <w:szCs w:val="18"/>
                <w:caps w:val="false"/>
                <w:rFonts w:ascii="Calibri" w:cs="Calibri" w:eastAsia="Calibri" w:hAnsi="Calibri"/>
              </w:rPr>
              <w:t xml:space="preserve">      ·   ES: Título IX</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1972 federal law barring sex discrimination in any education program that receives federal funds — landmark for equal opportunity, including in school athletics.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“Title IX”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Americans with Disabilities Act (ADA)</w:t>
            </w:r>
            <w:r>
              <w:rPr>
                <w:b w:val="false"/>
                <w:bCs w:val="false"/>
                <w:i w:val="false"/>
                <w:iCs w:val="false"/>
                <w:color w:val="D9D5C8"/>
                <w:sz w:val="18"/>
                <w:szCs w:val="18"/>
                <w:caps w:val="false"/>
                <w:rFonts w:ascii="Calibri" w:cs="Calibri" w:eastAsia="Calibri" w:hAnsi="Calibri"/>
              </w:rPr>
              <w:t xml:space="preserve">      ·   ES: Ley de Estadounidenses con Discapacidades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1990 federal law prohibiting discrimination against people with disabilities and requiring reasonable accommodations in employment, public services, and public places.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“Americans with Disabilities Act (ADA)”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Title IX · Americans with Disabilities Act (ADA) · Precedent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21"/>
                <w:szCs w:val="21"/>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21"/>
                <w:szCs w:val="21"/>
                <w:caps w:val="false"/>
                <w:rFonts w:ascii="Calibri" w:cs="Calibri" w:eastAsia="Calibri" w:hAnsi="Calibri"/>
              </w:rPr>
              <w:t xml:space="preserve">B.   All private-school tuition</w:t>
            </w:r>
          </w:p>
          <w:p>
            <w:pPr>
              <w:spacing w:after="30"/>
              <w:ind w:left="360"/>
            </w:pPr>
            <w:r>
              <w:rPr>
                <w:b w:val="false"/>
                <w:bCs w:val="false"/>
                <w:i w:val="false"/>
                <w:iCs w:val="false"/>
                <w:color w:val="1A1A1A"/>
                <w:sz w:val="21"/>
                <w:szCs w:val="21"/>
                <w:caps w:val="false"/>
                <w:rFonts w:ascii="Calibri" w:cs="Calibri" w:eastAsia="Calibri" w:hAnsi="Calibri"/>
              </w:rPr>
              <w:t xml:space="preserve">C.   The teaching of history</w:t>
            </w:r>
          </w:p>
          <w:p>
            <w:pPr>
              <w:spacing w:after="30"/>
              <w:ind w:left="360"/>
            </w:pPr>
            <w:r>
              <w:rPr>
                <w:b w:val="false"/>
                <w:bCs w:val="false"/>
                <w:i w:val="false"/>
                <w:iCs w:val="false"/>
                <w:color w:val="1A1A1A"/>
                <w:sz w:val="21"/>
                <w:szCs w:val="21"/>
                <w:caps w:val="false"/>
                <w:rFonts w:ascii="Calibri" w:cs="Calibri" w:eastAsia="Calibri" w:hAnsi="Calibri"/>
              </w:rPr>
              <w:t xml:space="preserve">D.   Voting by people under 21</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for the underserved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Title IX</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Americans with Disabilities Act (ADA)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 Why is Korematsu v. United States remembered as a warning, not a model?</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GC.27</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u6-gc27-dok1-1 · pre-field-test]</w:t>
      </w:r>
    </w:p>
    <w:p>
      <w:pPr>
        <w:spacing w:after="100"/>
      </w:pPr>
      <w:r>
        <w:rPr>
          <w:b/>
          <w:bCs/>
          <w:i w:val="false"/>
          <w:iCs w:val="false"/>
          <w:color w:val="1A1A1A"/>
          <w:sz w:val="21"/>
          <w:szCs w:val="21"/>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20"/>
          <w:szCs w:val="20"/>
          <w:caps w:val="false"/>
          <w:rFonts w:ascii="Calibri" w:cs="Calibri" w:eastAsia="Calibri" w:hAnsi="Calibri"/>
        </w:rPr>
        <w:t xml:space="preserve">A. Title IX</w:t>
      </w:r>
    </w:p>
    <w:p>
      <w:pPr>
        <w:spacing w:after="20"/>
        <w:ind w:left="260"/>
      </w:pPr>
      <w:r>
        <w:rPr>
          <w:b w:val="false"/>
          <w:bCs w:val="false"/>
          <w:i w:val="false"/>
          <w:iCs w:val="false"/>
          <w:color w:val="1A1A1A"/>
          <w:sz w:val="20"/>
          <w:szCs w:val="2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20"/>
          <w:szCs w:val="20"/>
          <w:caps w:val="false"/>
          <w:rFonts w:ascii="Calibri" w:cs="Calibri" w:eastAsia="Calibri" w:hAnsi="Calibri"/>
        </w:rPr>
        <w:t xml:space="preserve">C. Voting Rights Act</w:t>
      </w:r>
    </w:p>
    <w:p>
      <w:pPr>
        <w:spacing w:after="20"/>
        <w:ind w:left="260"/>
      </w:pPr>
      <w:r>
        <w:rPr>
          <w:b w:val="false"/>
          <w:bCs w:val="false"/>
          <w:i w:val="false"/>
          <w:iCs w:val="false"/>
          <w:color w:val="1A1A1A"/>
          <w:sz w:val="20"/>
          <w:szCs w:val="20"/>
          <w:caps w:val="false"/>
          <w:rFonts w:ascii="Calibri" w:cs="Calibri" w:eastAsia="Calibri" w:hAnsi="Calibri"/>
        </w:rPr>
        <w:t xml:space="preserve">D. Butler Act</w:t>
      </w:r>
    </w:p>
    <w:p>
      <w:pPr>
        <w:spacing w:after="100"/>
      </w:pPr>
      <w:r>
        <w:rPr>
          <w:b/>
          <w:bCs/>
          <w:i w:val="false"/>
          <w:iCs w:val="false"/>
          <w:color w:val="6B7280"/>
          <w:sz w:val="18"/>
          <w:szCs w:val="18"/>
          <w:caps w:val="false"/>
          <w:rFonts w:ascii="Calibri" w:cs="Calibri" w:eastAsia="Calibri" w:hAnsi="Calibri"/>
        </w:rPr>
        <w:t xml:space="preserve">[DOK 2 · item u1-gc27-dok2-tc · pre-field-test]</w:t>
      </w:r>
    </w:p>
    <w:p>
      <w:pPr>
        <w:spacing w:after="100"/>
      </w:pPr>
      <w:r>
        <w:rPr>
          <w:b/>
          <w:bCs/>
          <w:i w:val="false"/>
          <w:iCs w:val="false"/>
          <w:color w:val="1A1A1A"/>
          <w:sz w:val="21"/>
          <w:szCs w:val="21"/>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20"/>
          <w:szCs w:val="2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20"/>
          <w:szCs w:val="20"/>
          <w:caps w:val="false"/>
          <w:rFonts w:ascii="Calibri" w:cs="Calibri" w:eastAsia="Calibri" w:hAnsi="Calibri"/>
        </w:rPr>
        <w:t xml:space="preserve">B. All private-school tuition</w:t>
      </w:r>
    </w:p>
    <w:p>
      <w:pPr>
        <w:spacing w:after="20"/>
        <w:ind w:left="260"/>
      </w:pPr>
      <w:r>
        <w:rPr>
          <w:b w:val="false"/>
          <w:bCs w:val="false"/>
          <w:i w:val="false"/>
          <w:iCs w:val="false"/>
          <w:color w:val="1A1A1A"/>
          <w:sz w:val="20"/>
          <w:szCs w:val="20"/>
          <w:caps w:val="false"/>
          <w:rFonts w:ascii="Calibri" w:cs="Calibri" w:eastAsia="Calibri" w:hAnsi="Calibri"/>
        </w:rPr>
        <w:t xml:space="preserve">C. The teaching of history</w:t>
      </w:r>
    </w:p>
    <w:p>
      <w:pPr>
        <w:spacing w:after="20"/>
        <w:ind w:left="260"/>
      </w:pPr>
      <w:r>
        <w:rPr>
          <w:b w:val="false"/>
          <w:bCs w:val="false"/>
          <w:i w:val="false"/>
          <w:iCs w:val="false"/>
          <w:color w:val="1A1A1A"/>
          <w:sz w:val="20"/>
          <w:szCs w:val="20"/>
          <w:caps w:val="false"/>
          <w:rFonts w:ascii="Calibri" w:cs="Calibri" w:eastAsia="Calibri" w:hAnsi="Calibri"/>
        </w:rPr>
        <w:t xml:space="preserve">D. Voting by people under 21</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GC.27</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GC.23: </w:t>
      </w:r>
      <w:r>
        <w:rPr>
          <w:b w:val="false"/>
          <w:bCs w:val="false"/>
          <w:i w:val="false"/>
          <w:iCs w:val="false"/>
          <w:color w:val="1A1A1A"/>
          <w:sz w:val="21"/>
          <w:szCs w:val="21"/>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21"/>
          <w:szCs w:val="21"/>
          <w:caps w:val="false"/>
          <w:rFonts w:ascii="Calibri" w:cs="Calibri" w:eastAsia="Calibri" w:hAnsi="Calibri"/>
        </w:rPr>
        <w:t xml:space="preserve">GC.24: </w:t>
      </w:r>
      <w:r>
        <w:rPr>
          <w:b w:val="false"/>
          <w:bCs w:val="false"/>
          <w:i w:val="false"/>
          <w:iCs w:val="false"/>
          <w:color w:val="1A1A1A"/>
          <w:sz w:val="21"/>
          <w:szCs w:val="21"/>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21"/>
          <w:szCs w:val="21"/>
          <w:caps w:val="false"/>
          <w:rFonts w:ascii="Calibri" w:cs="Calibri" w:eastAsia="Calibri" w:hAnsi="Calibri"/>
        </w:rPr>
        <w:t xml:space="preserve">GC.25: </w:t>
      </w:r>
      <w:r>
        <w:rPr>
          <w:b w:val="false"/>
          <w:bCs w:val="false"/>
          <w:i w:val="false"/>
          <w:iCs w:val="false"/>
          <w:color w:val="1A1A1A"/>
          <w:sz w:val="21"/>
          <w:szCs w:val="21"/>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21"/>
          <w:szCs w:val="21"/>
          <w:caps w:val="false"/>
          <w:rFonts w:ascii="Calibri" w:cs="Calibri" w:eastAsia="Calibri" w:hAnsi="Calibri"/>
        </w:rPr>
        <w:t xml:space="preserve">GC.26: </w:t>
      </w:r>
      <w:r>
        <w:rPr>
          <w:b w:val="false"/>
          <w:bCs w:val="false"/>
          <w:i w:val="false"/>
          <w:iCs w:val="false"/>
          <w:color w:val="1A1A1A"/>
          <w:sz w:val="21"/>
          <w:szCs w:val="21"/>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21"/>
          <w:szCs w:val="21"/>
          <w:caps w:val="false"/>
          <w:rFonts w:ascii="Calibri" w:cs="Calibri" w:eastAsia="Calibri" w:hAnsi="Calibri"/>
        </w:rPr>
        <w:t xml:space="preserve">GC.27: </w:t>
      </w:r>
      <w:r>
        <w:rPr>
          <w:b w:val="false"/>
          <w:bCs w:val="false"/>
          <w:i w:val="false"/>
          <w:iCs w:val="false"/>
          <w:color w:val="1A1A1A"/>
          <w:sz w:val="21"/>
          <w:szCs w:val="21"/>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GC.23 — The First Amendment in Court</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Tinker v. Des Moines, 393 U.S. 503. </w:t>
      </w:r>
      <w:r>
        <w:rPr>
          <w:b w:val="false"/>
          <w:bCs w:val="false"/>
          <w:i w:val="false"/>
          <w:iCs w:val="false"/>
          <w:color w:val="1A1A1A"/>
          <w:sz w:val="19"/>
          <w:szCs w:val="19"/>
          <w:caps w:val="false"/>
          <w:rFonts w:ascii="Calibri" w:cs="Calibri" w:eastAsia="Calibri" w:hAnsi="Calibri"/>
        </w:rPr>
        <w:t xml:space="preserve">Justice Abe Fortas, 1969.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https://supreme.justia.com/cases/federal/us/393/503/</w:t>
      </w:r>
    </w:p>
    <w:p>
      <w:pPr>
        <w:spacing w:after="100"/>
      </w:pPr>
      <w:r>
        <w:rPr>
          <w:b/>
          <w:bCs/>
          <w:i w:val="false"/>
          <w:iCs w:val="false"/>
          <w:color w:val="1B2A4A"/>
          <w:sz w:val="21"/>
          <w:szCs w:val="21"/>
          <w:caps w:val="false"/>
          <w:rFonts w:ascii="Calibri" w:cs="Calibri" w:eastAsia="Calibri" w:hAnsi="Calibri"/>
        </w:rPr>
        <w:t xml:space="preserve">GC.24 — The Second Amendment in Court</w:t>
      </w:r>
    </w:p>
    <w:p>
      <w:pPr>
        <w:spacing w:after="100"/>
      </w:pPr>
      <w:r>
        <w:rPr>
          <w:b/>
          <w:bCs/>
          <w:i w:val="false"/>
          <w:iCs w:val="false"/>
          <w:color w:val="1A1A1A"/>
          <w:sz w:val="19"/>
          <w:szCs w:val="19"/>
          <w:caps w:val="false"/>
          <w:rFonts w:ascii="Calibri" w:cs="Calibri" w:eastAsia="Calibri" w:hAnsi="Calibri"/>
        </w:rPr>
        <w:t xml:space="preserve">U.S. Constitution, Amendment II.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District of Columbia v. Heller, 554 U.S. 570. </w:t>
      </w:r>
      <w:r>
        <w:rPr>
          <w:b w:val="false"/>
          <w:bCs w:val="false"/>
          <w:i w:val="false"/>
          <w:iCs w:val="false"/>
          <w:color w:val="1A1A1A"/>
          <w:sz w:val="19"/>
          <w:szCs w:val="19"/>
          <w:caps w:val="false"/>
          <w:rFonts w:ascii="Calibri" w:cs="Calibri" w:eastAsia="Calibri" w:hAnsi="Calibri"/>
        </w:rPr>
        <w:t xml:space="preserve">Justice Antonin Scalia, 2008.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https://supreme.justia.com/cases/federal/us/554/570/</w:t>
      </w:r>
    </w:p>
    <w:p>
      <w:pPr>
        <w:spacing w:after="100"/>
      </w:pPr>
      <w:r>
        <w:rPr>
          <w:b/>
          <w:bCs/>
          <w:i w:val="false"/>
          <w:iCs w:val="false"/>
          <w:color w:val="1B2A4A"/>
          <w:sz w:val="21"/>
          <w:szCs w:val="21"/>
          <w:caps w:val="false"/>
          <w:rFonts w:ascii="Calibri" w:cs="Calibri" w:eastAsia="Calibri" w:hAnsi="Calibri"/>
        </w:rPr>
        <w:t xml:space="preserve">GC.25 — Rights of the Accused (4th–8th Amendments)</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Gideon v. Wainwright, 372 U.S. 335. </w:t>
      </w:r>
      <w:r>
        <w:rPr>
          <w:b w:val="false"/>
          <w:bCs w:val="false"/>
          <w:i w:val="false"/>
          <w:iCs w:val="false"/>
          <w:color w:val="1A1A1A"/>
          <w:sz w:val="19"/>
          <w:szCs w:val="19"/>
          <w:caps w:val="false"/>
          <w:rFonts w:ascii="Calibri" w:cs="Calibri" w:eastAsia="Calibri" w:hAnsi="Calibri"/>
        </w:rPr>
        <w:t xml:space="preserve">Justice Hugo Black, 1963.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https://supreme.justia.com/cases/federal/us/372/335/</w:t>
      </w:r>
    </w:p>
    <w:p>
      <w:pPr>
        <w:spacing w:after="100"/>
      </w:pPr>
      <w:r>
        <w:rPr>
          <w:b/>
          <w:bCs/>
          <w:i w:val="false"/>
          <w:iCs w:val="false"/>
          <w:color w:val="1B2A4A"/>
          <w:sz w:val="21"/>
          <w:szCs w:val="21"/>
          <w:caps w:val="false"/>
          <w:rFonts w:ascii="Calibri" w:cs="Calibri" w:eastAsia="Calibri" w:hAnsi="Calibri"/>
        </w:rPr>
        <w:t xml:space="preserve">GC.26 — The 14th Amendment — Equal Protection &amp; Due Process</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Brown v. Board of Education, 347 U.S. 483. </w:t>
      </w:r>
      <w:r>
        <w:rPr>
          <w:b w:val="false"/>
          <w:bCs w:val="false"/>
          <w:i w:val="false"/>
          <w:iCs w:val="false"/>
          <w:color w:val="1A1A1A"/>
          <w:sz w:val="19"/>
          <w:szCs w:val="19"/>
          <w:caps w:val="false"/>
          <w:rFonts w:ascii="Calibri" w:cs="Calibri" w:eastAsia="Calibri" w:hAnsi="Calibri"/>
        </w:rPr>
        <w:t xml:space="preserve">Chief Justice Earl Warren, 1954.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https://supreme.justia.com/cases/federal/us/347/483/</w:t>
      </w:r>
    </w:p>
    <w:p>
      <w:pPr>
        <w:spacing w:after="100"/>
      </w:pPr>
      <w:r>
        <w:rPr>
          <w:b/>
          <w:bCs/>
          <w:i w:val="false"/>
          <w:iCs w:val="false"/>
          <w:color w:val="1B2A4A"/>
          <w:sz w:val="21"/>
          <w:szCs w:val="21"/>
          <w:caps w:val="false"/>
          <w:rFonts w:ascii="Calibri" w:cs="Calibri" w:eastAsia="Calibri" w:hAnsi="Calibri"/>
        </w:rPr>
        <w:t xml:space="preserve">GC.27 — Rights for the Underserved</w:t>
      </w:r>
    </w:p>
    <w:p>
      <w:pPr>
        <w:spacing w:after="100"/>
      </w:pPr>
      <w:r>
        <w:rPr>
          <w:b/>
          <w:bCs/>
          <w:i w:val="false"/>
          <w:iCs w:val="false"/>
          <w:color w:val="1A1A1A"/>
          <w:sz w:val="19"/>
          <w:szCs w:val="19"/>
          <w:caps w:val="false"/>
          <w:rFonts w:ascii="Calibri" w:cs="Calibri" w:eastAsia="Calibri" w:hAnsi="Calibri"/>
        </w:rPr>
        <w:t xml:space="preserve">Title IX, Education Amendments of 1972. </w:t>
      </w:r>
      <w:r>
        <w:rPr>
          <w:b w:val="false"/>
          <w:bCs w:val="false"/>
          <w:i w:val="false"/>
          <w:iCs w:val="false"/>
          <w:color w:val="1A1A1A"/>
          <w:sz w:val="19"/>
          <w:szCs w:val="19"/>
          <w:caps w:val="false"/>
          <w:rFonts w:ascii="Calibri" w:cs="Calibri" w:eastAsia="Calibri" w:hAnsi="Calibri"/>
        </w:rPr>
        <w:t xml:space="preserve">U.S. Congress, 1972. U.S. Code, 20 U.S.C. § 1681. Public domain. </w:t>
      </w:r>
      <w:r>
        <w:rPr>
          <w:b w:val="false"/>
          <w:bCs w:val="false"/>
          <w:i w:val="false"/>
          <w:iCs w:val="false"/>
          <w:color w:val="2A5DB0"/>
          <w:sz w:val="17"/>
          <w:szCs w:val="17"/>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36"/>
          <w:szCs w:val="36"/>
          <w:caps w:val="false"/>
          <w:rFonts w:ascii="Calibri" w:cs="Calibri" w:eastAsia="Calibri" w:hAnsi="Calibri"/>
        </w:rPr>
        <w:t xml:space="preserve">Whose Liberty? Perspectives on Rights</w:t>
      </w:r>
    </w:p>
    <w:p>
      <w:pPr>
        <w:spacing w:after="100"/>
      </w:pPr>
      <w:r>
        <w:rPr>
          <w:b w:val="false"/>
          <w:bCs w:val="false"/>
          <w:i w:val="false"/>
          <w:iCs w:val="false"/>
          <w:color w:val="1A1A1A"/>
          <w:sz w:val="22"/>
          <w:szCs w:val="22"/>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Individual vs. the State</w:t>
      </w:r>
    </w:p>
    <w:p>
      <w:pPr>
        <w:spacing w:after="100"/>
      </w:pPr>
      <w:r>
        <w:rPr>
          <w:b w:val="false"/>
          <w:bCs w:val="false"/>
          <w:i w:val="false"/>
          <w:iCs w:val="false"/>
          <w:color w:val="1A1A1A"/>
          <w:sz w:val="21"/>
          <w:szCs w:val="21"/>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28"/>
          <w:szCs w:val="28"/>
          <w:caps w:val="false"/>
          <w:rFonts w:ascii="Calibri" w:cs="Calibri" w:eastAsia="Calibri" w:hAnsi="Calibri"/>
        </w:rPr>
        <w:t xml:space="preserve">Incorporation</w:t>
      </w:r>
    </w:p>
    <w:p>
      <w:pPr>
        <w:spacing w:after="100"/>
      </w:pPr>
      <w:r>
        <w:rPr>
          <w:b w:val="false"/>
          <w:bCs w:val="false"/>
          <w:i w:val="false"/>
          <w:iCs w:val="false"/>
          <w:color w:val="1A1A1A"/>
          <w:sz w:val="21"/>
          <w:szCs w:val="21"/>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Circle</w:t>
      </w:r>
    </w:p>
    <w:p>
      <w:pPr>
        <w:spacing w:after="100"/>
      </w:pPr>
      <w:r>
        <w:rPr>
          <w:b w:val="false"/>
          <w:bCs w:val="false"/>
          <w:i w:val="false"/>
          <w:iCs w:val="false"/>
          <w:color w:val="1A1A1A"/>
          <w:sz w:val="21"/>
          <w:szCs w:val="21"/>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28"/>
          <w:szCs w:val="28"/>
          <w:caps w:val="false"/>
          <w:rFonts w:ascii="Calibri" w:cs="Calibri" w:eastAsia="Calibri" w:hAnsi="Calibri"/>
        </w:rPr>
        <w:t xml:space="preserve">Security vs. Liberty</w:t>
      </w:r>
    </w:p>
    <w:p>
      <w:pPr>
        <w:spacing w:after="100"/>
      </w:pPr>
      <w:r>
        <w:rPr>
          <w:b w:val="false"/>
          <w:bCs w:val="false"/>
          <w:i w:val="false"/>
          <w:iCs w:val="false"/>
          <w:color w:val="1A1A1A"/>
          <w:sz w:val="21"/>
          <w:szCs w:val="21"/>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uicbdzau06c8xarcamrt.png"/><Relationship Id="rId9" Type="http://schemas.openxmlformats.org/officeDocument/2006/relationships/image" Target="media/prz3gt70cqrrcwrjhju5w.png"/><Relationship Id="rId10" Type="http://schemas.openxmlformats.org/officeDocument/2006/relationships/image" Target="media/n_jsv4rqeuudlgjf-zw_f.png"/><Relationship Id="rId11" Type="http://schemas.openxmlformats.org/officeDocument/2006/relationships/image" Target="media/bxdfdvzbk5ayqvasfglle.png"/><Relationship Id="rId12" Type="http://schemas.openxmlformats.org/officeDocument/2006/relationships/image" Target="media/dxzohntr0gztjs3praxj1.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2026-07-30T05:07:20.033Z</dcterms:created>
  <dcterms:modified xsi:type="dcterms:W3CDTF">2026-07-30T05:07:20.033Z</dcterms:modified>
</cp:coreProperties>
</file>

<file path=docProps/custom.xml><?xml version="1.0" encoding="utf-8"?>
<Properties xmlns="http://schemas.openxmlformats.org/officeDocument/2006/custom-properties" xmlns:vt="http://schemas.openxmlformats.org/officeDocument/2006/docPropsVTypes"/>
</file>