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 w:after="0"/>
      </w:pPr>
      <w:r>
        <w:rPr>
          <w:b/>
          <w:bCs/>
          <w:i w:val="false"/>
          <w:iCs w:val="false"/>
          <w:color w:val="C89B3C"/>
          <w:sz w:val="30"/>
          <w:szCs w:val="30"/>
          <w:rFonts w:ascii="Calibri" w:cs="Calibri" w:eastAsia="Calibri" w:hAnsi="Calibri"/>
        </w:rPr>
        <w:t xml:space="preserve">GOVERNMENT HACK™</w:t>
      </w:r>
    </w:p>
    <w:p>
      <w:pPr>
        <w:spacing w:after="0"/>
      </w:pPr>
      <w:r>
        <w:rPr>
          <w:b/>
          <w:bCs/>
          <w:i w:val="false"/>
          <w:iCs w:val="false"/>
          <w:color w:val="1B2A4A"/>
          <w:sz w:val="52"/>
          <w:szCs w:val="52"/>
          <w:rFonts w:ascii="Calibri" w:cs="Calibri" w:eastAsia="Calibri" w:hAnsi="Calibri"/>
        </w:rPr>
        <w:t xml:space="preserve">Unit Assessment Book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1A1A1A"/>
          <w:sz w:val="26"/>
          <w:szCs w:val="26"/>
          <w:rFonts w:ascii="Calibri" w:cs="Calibri" w:eastAsia="Calibri" w:hAnsi="Calibri"/>
        </w:rPr>
        <w:t xml:space="preserve">Unit 6 — Civil Liberties  ·  Teacher Edition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rFonts w:ascii="Calibri" w:cs="Calibri" w:eastAsia="Calibri" w:hAnsi="Calibri"/>
              </w:rPr>
              <w:t xml:space="preserve">HOW TO USE THIS BOOK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Three parts: (1) Formative Checkpoints — a short check per standard for progress monitoring (MTSS); (2) Unit Summative — two parallel forms (A and B) for pre/post or retakes; (3) Teacher Answer Key + Item Analysis + Reteach.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All items are pulled from the Government Hack question bank. Assessment items are classroom-formative · pre-field-test.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Administering these forms is what generates the response data to CALIBRATE the pre-calibrated items — the first cycle of use closes the loop.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Keys and reteach live in this teacher book only — reproduce the student sections (formative + Form A/B) without the key section.</w:t>
            </w:r>
          </w:p>
        </w:tc>
      </w:tr>
    </w:tbl>
    <w:p>
      <w:pPr>
        <w:pStyle w:val="Heading1"/>
        <w:keepNext/>
        <w:spacing w:before="20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keepNext/>
        <w:pageBreakBefore/>
        <w:spacing w:before="20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Part 1 — Formative Checkpoints (by standard)</w:t>
      </w:r>
    </w:p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A quick DOK-balanced check for each standard. Use for progress monitoring; reteach routing is in the Teacher Key.</w:t>
      </w:r>
    </w:p>
    <w:p>
      <w:pPr>
        <w:pStyle w:val="Heading2"/>
        <w:keepNext/>
        <w:spacing w:before="150" w:after="90"/>
      </w:pPr>
      <w:r>
        <w:rPr>
          <w:b/>
          <w:bCs/>
          <w:i w:val="false"/>
          <w:iCs w:val="false"/>
          <w:color w:val="1B2A4A"/>
          <w:sz w:val="28"/>
          <w:szCs w:val="28"/>
          <w:rFonts w:ascii="Calibri" w:cs="Calibri" w:eastAsia="Calibri" w:hAnsi="Calibri"/>
        </w:rPr>
        <w:t xml:space="preserve">GC.23 — The First Amendment in Court</w:t>
      </w:r>
    </w:p>
    <w:p>
      <w:pPr>
        <w:spacing w:after="40"/>
      </w:pP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1.  </w:t>
      </w: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In Tinker v. Des Moines (1969), what did the Supreme Court decide about students' free-speech rights?</w:t>
      </w:r>
      <w:r>
        <w:rPr>
          <w:b w:val="false"/>
          <w:bCs w:val="false"/>
          <w:i w:val="false"/>
          <w:iCs w:val="false"/>
          <w:color w:val="6B7280"/>
          <w:sz w:val="15"/>
          <w:szCs w:val="15"/>
          <w:rFonts w:ascii="Calibri" w:cs="Calibri" w:eastAsia="Calibri" w:hAnsi="Calibri"/>
        </w:rPr>
        <w:t xml:space="preserve">   [GC.23 · DOK 2 · pre-field-test]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A.  Schools may ban any student expression that administrators dislike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B.  Students keep their free-speech rights at school unless the expression substantially disrupts learning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C.  The First Amendment does not apply to public-school students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D.  Only teachers, not students, hold free-speech rights at school</w:t>
      </w:r>
    </w:p>
    <w:p>
      <w:pPr>
        <w:spacing w:after="60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rFonts w:ascii="Calibri" w:cs="Calibri" w:eastAsia="Calibri" w:hAnsi="Calibri"/>
        </w:rPr>
      </w:r>
    </w:p>
    <w:p>
      <w:pPr>
        <w:pStyle w:val="Heading2"/>
        <w:keepNext/>
        <w:spacing w:before="150" w:after="90"/>
      </w:pPr>
      <w:r>
        <w:rPr>
          <w:b/>
          <w:bCs/>
          <w:i w:val="false"/>
          <w:iCs w:val="false"/>
          <w:color w:val="1B2A4A"/>
          <w:sz w:val="28"/>
          <w:szCs w:val="28"/>
          <w:rFonts w:ascii="Calibri" w:cs="Calibri" w:eastAsia="Calibri" w:hAnsi="Calibri"/>
        </w:rPr>
        <w:t xml:space="preserve">GC.24 — The Second Amendment in Court</w:t>
      </w:r>
    </w:p>
    <w:p>
      <w:pPr>
        <w:spacing w:after="40"/>
      </w:pP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1.  </w:t>
      </w: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In District of Columbia v. Heller (2008), what did the Supreme Court hold about the Second Amendment?</w:t>
      </w:r>
      <w:r>
        <w:rPr>
          <w:b w:val="false"/>
          <w:bCs w:val="false"/>
          <w:i w:val="false"/>
          <w:iCs w:val="false"/>
          <w:color w:val="6B7280"/>
          <w:sz w:val="15"/>
          <w:szCs w:val="15"/>
          <w:rFonts w:ascii="Calibri" w:cs="Calibri" w:eastAsia="Calibri" w:hAnsi="Calibri"/>
        </w:rPr>
        <w:t xml:space="preserve">   [GC.24 · DOK 2 · pre-field-test]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A.  That only the military may lawfully own weapons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B.  That the amendment applies only to state militias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C.  That states may ban all firearms within their borders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D.  That the Second Amendment protects an individual right to keep and bear arms</w:t>
      </w:r>
    </w:p>
    <w:p>
      <w:pPr>
        <w:spacing w:after="60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rFonts w:ascii="Calibri" w:cs="Calibri" w:eastAsia="Calibri" w:hAnsi="Calibri"/>
        </w:rPr>
      </w:r>
    </w:p>
    <w:p>
      <w:pPr>
        <w:pStyle w:val="Heading2"/>
        <w:keepNext/>
        <w:spacing w:before="150" w:after="90"/>
      </w:pPr>
      <w:r>
        <w:rPr>
          <w:b/>
          <w:bCs/>
          <w:i w:val="false"/>
          <w:iCs w:val="false"/>
          <w:color w:val="1B2A4A"/>
          <w:sz w:val="28"/>
          <w:szCs w:val="28"/>
          <w:rFonts w:ascii="Calibri" w:cs="Calibri" w:eastAsia="Calibri" w:hAnsi="Calibri"/>
        </w:rPr>
        <w:t xml:space="preserve">GC.25 — Rights of the Accused (4th–8th Amendments)</w:t>
      </w:r>
    </w:p>
    <w:p>
      <w:pPr>
        <w:spacing w:after="40"/>
      </w:pP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1.  </w:t>
      </w: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The exclusionary rule, established in Mapp v. Ohio (1961), provides that —</w:t>
      </w:r>
      <w:r>
        <w:rPr>
          <w:b w:val="false"/>
          <w:bCs w:val="false"/>
          <w:i w:val="false"/>
          <w:iCs w:val="false"/>
          <w:color w:val="6B7280"/>
          <w:sz w:val="15"/>
          <w:szCs w:val="15"/>
          <w:rFonts w:ascii="Calibri" w:cs="Calibri" w:eastAsia="Calibri" w:hAnsi="Calibri"/>
        </w:rPr>
        <w:t xml:space="preserve">   [GC.25 · DOK 2 · pre-field-test]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A.  evidence obtained through an illegal search cannot be used against a defendant in court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B.  police may search a home without a warrant in most situations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C.  a suspect must answer every question police ask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D.  criminal trials may be conducted in secret</w:t>
      </w:r>
    </w:p>
    <w:p>
      <w:pPr>
        <w:spacing w:after="60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rFonts w:ascii="Calibri" w:cs="Calibri" w:eastAsia="Calibri" w:hAnsi="Calibri"/>
        </w:rPr>
      </w:r>
    </w:p>
    <w:p>
      <w:pPr>
        <w:pStyle w:val="Heading2"/>
        <w:keepNext/>
        <w:spacing w:before="150" w:after="90"/>
      </w:pPr>
      <w:r>
        <w:rPr>
          <w:b/>
          <w:bCs/>
          <w:i w:val="false"/>
          <w:iCs w:val="false"/>
          <w:color w:val="1B2A4A"/>
          <w:sz w:val="28"/>
          <w:szCs w:val="28"/>
          <w:rFonts w:ascii="Calibri" w:cs="Calibri" w:eastAsia="Calibri" w:hAnsi="Calibri"/>
        </w:rPr>
        <w:t xml:space="preserve">GC.26 — The 14th Amendment — Equal Protection &amp; Due Process</w:t>
      </w:r>
    </w:p>
    <w:p>
      <w:pPr>
        <w:spacing w:after="40"/>
      </w:pP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1.  </w:t>
      </w: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Why is Brown v. Board of Education (1954) considered a turning point in interpreting the Equal Protection Clause?</w:t>
      </w:r>
      <w:r>
        <w:rPr>
          <w:b w:val="false"/>
          <w:bCs w:val="false"/>
          <w:i w:val="false"/>
          <w:iCs w:val="false"/>
          <w:color w:val="6B7280"/>
          <w:sz w:val="15"/>
          <w:szCs w:val="15"/>
          <w:rFonts w:ascii="Calibri" w:cs="Calibri" w:eastAsia="Calibri" w:hAnsi="Calibri"/>
        </w:rPr>
        <w:t xml:space="preserve">   [GC.26 · DOK 2 · pre-field-test]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A.  It upheld the 'separate but equal' doctrine from Plessy v. Ferguson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B.  It removed the Equal Protection Clause from the 14th Amendment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C.  It ruled that 'separate educational facilities are inherently unequal,' ending lawful school segregation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D.  It applied only to private colleges, not public schools</w:t>
      </w:r>
    </w:p>
    <w:p>
      <w:pPr>
        <w:spacing w:after="60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rFonts w:ascii="Calibri" w:cs="Calibri" w:eastAsia="Calibri" w:hAnsi="Calibri"/>
        </w:rPr>
      </w:r>
    </w:p>
    <w:p>
      <w:pPr>
        <w:pStyle w:val="Heading2"/>
        <w:keepNext/>
        <w:spacing w:before="150" w:after="90"/>
      </w:pPr>
      <w:r>
        <w:rPr>
          <w:b/>
          <w:bCs/>
          <w:i w:val="false"/>
          <w:iCs w:val="false"/>
          <w:color w:val="1B2A4A"/>
          <w:sz w:val="28"/>
          <w:szCs w:val="28"/>
          <w:rFonts w:ascii="Calibri" w:cs="Calibri" w:eastAsia="Calibri" w:hAnsi="Calibri"/>
        </w:rPr>
        <w:t xml:space="preserve">GC.27 — Rights for the Underserved</w:t>
      </w:r>
    </w:p>
    <w:p>
      <w:pPr>
        <w:spacing w:after="40"/>
      </w:pP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1.  </w:t>
      </w: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What does Title IX of the Education Amendments of 1972 prohibit?</w:t>
      </w:r>
      <w:r>
        <w:rPr>
          <w:b w:val="false"/>
          <w:bCs w:val="false"/>
          <w:i w:val="false"/>
          <w:iCs w:val="false"/>
          <w:color w:val="6B7280"/>
          <w:sz w:val="15"/>
          <w:szCs w:val="15"/>
          <w:rFonts w:ascii="Calibri" w:cs="Calibri" w:eastAsia="Calibri" w:hAnsi="Calibri"/>
        </w:rPr>
        <w:t xml:space="preserve">   [GC.27 · DOK 1 · pre-field-test]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A.  All tuition charged by private schools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B.  Discrimination based on sex in education programs that receive federal funds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C.  The teaching of American history in public schools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D.  Voting by citizens under the age of 21</w:t>
      </w:r>
    </w:p>
    <w:p>
      <w:pPr>
        <w:spacing w:after="60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rFonts w:ascii="Calibri" w:cs="Calibri" w:eastAsia="Calibri" w:hAnsi="Calibri"/>
        </w:rPr>
      </w:r>
    </w:p>
    <w:p>
      <w:pPr>
        <w:pStyle w:val="Heading1"/>
        <w:keepNext/>
        <w:pageBreakBefore/>
        <w:spacing w:before="20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Part 2 — Unit Summative · Form A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rFonts w:ascii="Calibri" w:cs="Calibri" w:eastAsia="Calibri" w:hAnsi="Calibri"/>
              </w:rPr>
              <w:t xml:space="preserve">DIRECTIONS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Choose the best answer for each question. Assessment items are classroom-formative · pre-field-test.</w:t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Name: ______________________________     Class / Period: __________     Date: __________</w:t>
      </w:r>
    </w:p>
    <w:p>
      <w:pPr>
        <w:spacing w:after="40"/>
      </w:pP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1.  </w:t>
      </w: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A public high school suspends a student for silently wearing an armband to protest a government policy, and the protest caused no disruption. Based on Tinker v. Des Moines, how should a court most likely rule?</w:t>
      </w:r>
      <w:r>
        <w:rPr>
          <w:b w:val="false"/>
          <w:bCs w:val="false"/>
          <w:i w:val="false"/>
          <w:iCs w:val="false"/>
          <w:color w:val="6B7280"/>
          <w:sz w:val="15"/>
          <w:szCs w:val="15"/>
          <w:rFonts w:ascii="Calibri" w:cs="Calibri" w:eastAsia="Calibri" w:hAnsi="Calibri"/>
        </w:rPr>
        <w:t xml:space="preserve">   [GC.23 · DOK 3 · pre-field-test]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A.  For the student, because non-disruptive symbolic speech is protected at school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B.  For the school, because students give up their rights at the schoolhouse gate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C.  For the school, because all forms of student protest are banned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D.  For the student, because the First Amendment allows no limits on speech</w:t>
      </w:r>
    </w:p>
    <w:p>
      <w:pPr>
        <w:spacing w:after="60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rFonts w:ascii="Calibri" w:cs="Calibri" w:eastAsia="Calibri" w:hAnsi="Calibri"/>
        </w:rPr>
      </w:r>
    </w:p>
    <w:p>
      <w:pPr>
        <w:spacing w:after="40"/>
      </w:pP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2.  </w:t>
      </w: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The principle that a protection in the Bill of Rights is applied to state and local governments through the 14th Amendment is called —</w:t>
      </w:r>
      <w:r>
        <w:rPr>
          <w:b w:val="false"/>
          <w:bCs w:val="false"/>
          <w:i w:val="false"/>
          <w:iCs w:val="false"/>
          <w:color w:val="6B7280"/>
          <w:sz w:val="15"/>
          <w:szCs w:val="15"/>
          <w:rFonts w:ascii="Calibri" w:cs="Calibri" w:eastAsia="Calibri" w:hAnsi="Calibri"/>
        </w:rPr>
        <w:t xml:space="preserve">   [GC.24 · DOK 2 · pre-field-test]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A.  judicial review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B.  symbolic speech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C.  incorporation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D.  original jurisdiction</w:t>
      </w:r>
    </w:p>
    <w:p>
      <w:pPr>
        <w:spacing w:after="60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rFonts w:ascii="Calibri" w:cs="Calibri" w:eastAsia="Calibri" w:hAnsi="Calibri"/>
        </w:rPr>
      </w:r>
    </w:p>
    <w:p>
      <w:pPr>
        <w:spacing w:after="40"/>
      </w:pP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3.  </w:t>
      </w: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Police arrest a suspect and begin questioning her without telling her she has the right to remain silent and to a lawyer. Based on Miranda v. Arizona, what is the most likely consequence?</w:t>
      </w:r>
      <w:r>
        <w:rPr>
          <w:b w:val="false"/>
          <w:bCs w:val="false"/>
          <w:i w:val="false"/>
          <w:iCs w:val="false"/>
          <w:color w:val="6B7280"/>
          <w:sz w:val="15"/>
          <w:szCs w:val="15"/>
          <w:rFonts w:ascii="Calibri" w:cs="Calibri" w:eastAsia="Calibri" w:hAnsi="Calibri"/>
        </w:rPr>
        <w:t xml:space="preserve">   [GC.25 · DOK 3 · pre-field-test]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A.  Her statements are automatically valid because she was under arrest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B.  Her statements may be excluded from trial because she was not warned of her rights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C.  She permanently loses her right to a jury trial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D.  The arrest violates the Second Amendment</w:t>
      </w:r>
    </w:p>
    <w:p>
      <w:pPr>
        <w:spacing w:after="60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rFonts w:ascii="Calibri" w:cs="Calibri" w:eastAsia="Calibri" w:hAnsi="Calibri"/>
        </w:rPr>
      </w:r>
    </w:p>
    <w:p>
      <w:pPr>
        <w:spacing w:after="40"/>
      </w:pP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4.  </w:t>
      </w: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How can the same Equal Protection Clause have supported segregation in Plessy v. Ferguson (1896) yet ended it in Brown v. Board of Education (1954)?</w:t>
      </w:r>
      <w:r>
        <w:rPr>
          <w:b w:val="false"/>
          <w:bCs w:val="false"/>
          <w:i w:val="false"/>
          <w:iCs w:val="false"/>
          <w:color w:val="6B7280"/>
          <w:sz w:val="15"/>
          <w:szCs w:val="15"/>
          <w:rFonts w:ascii="Calibri" w:cs="Calibri" w:eastAsia="Calibri" w:hAnsi="Calibri"/>
        </w:rPr>
        <w:t xml:space="preserve">   [GC.26 · DOK 3 · pre-field-test]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A.  Congress rewrote the clause between the two cases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B.  Plessy did not actually involve the Equal Protection Clause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C.  The two rulings interpreted different amendments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D.  The Supreme Court reinterpreted the clause's meaning over time</w:t>
      </w:r>
    </w:p>
    <w:p>
      <w:pPr>
        <w:spacing w:after="60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rFonts w:ascii="Calibri" w:cs="Calibri" w:eastAsia="Calibri" w:hAnsi="Calibri"/>
        </w:rPr>
      </w:r>
    </w:p>
    <w:p>
      <w:pPr>
        <w:spacing w:after="40"/>
      </w:pP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5.  </w:t>
      </w: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How did the Americans with Disabilities Act of 1990 expand rights for underserved groups?</w:t>
      </w:r>
      <w:r>
        <w:rPr>
          <w:b w:val="false"/>
          <w:bCs w:val="false"/>
          <w:i w:val="false"/>
          <w:iCs w:val="false"/>
          <w:color w:val="6B7280"/>
          <w:sz w:val="15"/>
          <w:szCs w:val="15"/>
          <w:rFonts w:ascii="Calibri" w:cs="Calibri" w:eastAsia="Calibri" w:hAnsi="Calibri"/>
        </w:rPr>
        <w:t xml:space="preserve">   [GC.27 · DOK 2 · pre-field-test]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A.  By prohibiting discrimination against people with disabilities and requiring reasonable accommodations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B.  By banning sex discrimination in school athletics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C.  By guaranteeing a lawyer to defendants who cannot afford one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D.  By applying the Second Amendment to the states</w:t>
      </w:r>
    </w:p>
    <w:p>
      <w:pPr>
        <w:spacing w:after="60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rFonts w:ascii="Calibri" w:cs="Calibri" w:eastAsia="Calibri" w:hAnsi="Calibri"/>
        </w:rPr>
      </w:r>
    </w:p>
    <w:p>
      <w:pPr>
        <w:pStyle w:val="Heading1"/>
        <w:keepNext/>
        <w:pageBreakBefore/>
        <w:spacing w:before="20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Part 3 — Unit Summative · Form B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rFonts w:ascii="Calibri" w:cs="Calibri" w:eastAsia="Calibri" w:hAnsi="Calibri"/>
              </w:rPr>
              <w:t xml:space="preserve">DIRECTIONS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Choose the best answer for each question. Assessment items are classroom-formative · pre-field-test.</w:t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Name: ______________________________     Class / Period: __________     Date: __________</w:t>
      </w:r>
    </w:p>
    <w:p>
      <w:pPr>
        <w:spacing w:after="40"/>
      </w:pP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1.  </w:t>
      </w: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Engel v. Vitale (1962) and Lemon v. Kurtzman (1971) both interpreted which part of the First Amendment?</w:t>
      </w:r>
      <w:r>
        <w:rPr>
          <w:b w:val="false"/>
          <w:bCs w:val="false"/>
          <w:i w:val="false"/>
          <w:iCs w:val="false"/>
          <w:color w:val="6B7280"/>
          <w:sz w:val="15"/>
          <w:szCs w:val="15"/>
          <w:rFonts w:ascii="Calibri" w:cs="Calibri" w:eastAsia="Calibri" w:hAnsi="Calibri"/>
        </w:rPr>
        <w:t xml:space="preserve">   [GC.23 · DOK 2 · pre-field-test]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A.  the freedom of the press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B.  the right to peaceably assemble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C.  the right to petition the government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D.  the Establishment Clause separating government and religion</w:t>
      </w:r>
    </w:p>
    <w:p>
      <w:pPr>
        <w:spacing w:after="60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rFonts w:ascii="Calibri" w:cs="Calibri" w:eastAsia="Calibri" w:hAnsi="Calibri"/>
        </w:rPr>
      </w:r>
    </w:p>
    <w:p>
      <w:pPr>
        <w:spacing w:after="40"/>
      </w:pP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2.  </w:t>
      </w: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The Supreme Court has said the Second Amendment right is 'not unlimited.' What does that mean?</w:t>
      </w:r>
      <w:r>
        <w:rPr>
          <w:b w:val="false"/>
          <w:bCs w:val="false"/>
          <w:i w:val="false"/>
          <w:iCs w:val="false"/>
          <w:color w:val="6B7280"/>
          <w:sz w:val="15"/>
          <w:szCs w:val="15"/>
          <w:rFonts w:ascii="Calibri" w:cs="Calibri" w:eastAsia="Calibri" w:hAnsi="Calibri"/>
        </w:rPr>
        <w:t xml:space="preserve">   [GC.24 · DOK 2 · pre-field-test]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A.  Governments may still regulate who may carry firearms, and where and how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B.  Only the military may lawfully own weapons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C.  States may ban all firearms outright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D.  The amendment does not protect any individual at all</w:t>
      </w:r>
    </w:p>
    <w:p>
      <w:pPr>
        <w:spacing w:after="60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rFonts w:ascii="Calibri" w:cs="Calibri" w:eastAsia="Calibri" w:hAnsi="Calibri"/>
        </w:rPr>
      </w:r>
    </w:p>
    <w:p>
      <w:pPr>
        <w:spacing w:after="40"/>
      </w:pP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3.  </w:t>
      </w: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The requirement that the state provide a lawyer to a defendant who cannot afford one comes from which Supreme Court case?</w:t>
      </w:r>
      <w:r>
        <w:rPr>
          <w:b w:val="false"/>
          <w:bCs w:val="false"/>
          <w:i w:val="false"/>
          <w:iCs w:val="false"/>
          <w:color w:val="6B7280"/>
          <w:sz w:val="15"/>
          <w:szCs w:val="15"/>
          <w:rFonts w:ascii="Calibri" w:cs="Calibri" w:eastAsia="Calibri" w:hAnsi="Calibri"/>
        </w:rPr>
        <w:t xml:space="preserve">   [GC.25 · DOK 1 · pre-field-test]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A.  Mapp v. Ohio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B.  Gideon v. Wainwright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C.  Miranda v. Arizona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D.  Brown v. Board of Education</w:t>
      </w:r>
    </w:p>
    <w:p>
      <w:pPr>
        <w:spacing w:after="60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rFonts w:ascii="Calibri" w:cs="Calibri" w:eastAsia="Calibri" w:hAnsi="Calibri"/>
        </w:rPr>
      </w:r>
    </w:p>
    <w:p>
      <w:pPr>
        <w:spacing w:after="40"/>
      </w:pP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4.  </w:t>
      </w: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The 14th Amendment's guarantee that no state may 'deny to any person… the equal protection of the laws' was the constitutional basis for which ruling?</w:t>
      </w:r>
      <w:r>
        <w:rPr>
          <w:b w:val="false"/>
          <w:bCs w:val="false"/>
          <w:i w:val="false"/>
          <w:iCs w:val="false"/>
          <w:color w:val="6B7280"/>
          <w:sz w:val="15"/>
          <w:szCs w:val="15"/>
          <w:rFonts w:ascii="Calibri" w:cs="Calibri" w:eastAsia="Calibri" w:hAnsi="Calibri"/>
        </w:rPr>
        <w:t xml:space="preserve">   [GC.26 · DOK 2 · pre-field-test]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A.  Schenck v. United States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B.  District of Columbia v. Heller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C.  Brown v. Board of Education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D.  Miranda v. Arizona</w:t>
      </w:r>
    </w:p>
    <w:p>
      <w:pPr>
        <w:spacing w:after="60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rFonts w:ascii="Calibri" w:cs="Calibri" w:eastAsia="Calibri" w:hAnsi="Calibri"/>
        </w:rPr>
      </w:r>
    </w:p>
    <w:p>
      <w:pPr>
        <w:spacing w:after="40"/>
      </w:pP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5.  </w:t>
      </w:r>
      <w:r>
        <w:rPr>
          <w:b/>
          <w:bCs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Why do many scholars today point to Korematsu v. United States (1944) as a cautionary example rather than a model to follow?</w:t>
      </w:r>
      <w:r>
        <w:rPr>
          <w:b w:val="false"/>
          <w:bCs w:val="false"/>
          <w:i w:val="false"/>
          <w:iCs w:val="false"/>
          <w:color w:val="6B7280"/>
          <w:sz w:val="15"/>
          <w:szCs w:val="15"/>
          <w:rFonts w:ascii="Calibri" w:cs="Calibri" w:eastAsia="Calibri" w:hAnsi="Calibri"/>
        </w:rPr>
        <w:t xml:space="preserve">   [GC.27 · DOK 3 · pre-field-test]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A.  It created Title IX and later proved unnecessary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B.  It expanded voting rights too quickly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C.  It ended school segregation before the country was ready</w:t>
      </w:r>
    </w:p>
    <w:p>
      <w:pPr>
        <w:spacing w:after="24"/>
        <w:ind w:left="36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D.  It upheld the wartime incarceration of Japanese Americans, showing how liberty can be sacrificed to claimed security</w:t>
      </w:r>
    </w:p>
    <w:p>
      <w:pPr>
        <w:spacing w:after="60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rFonts w:ascii="Calibri" w:cs="Calibri" w:eastAsia="Calibri" w:hAnsi="Calibri"/>
        </w:rPr>
      </w:r>
    </w:p>
    <w:p>
      <w:pPr>
        <w:pStyle w:val="Heading1"/>
        <w:keepNext/>
        <w:pageBreakBefore/>
        <w:spacing w:before="20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Part 4 — Teacher Answer Key + Item Analysis + Reteach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rFonts w:ascii="Calibri" w:cs="Calibri" w:eastAsia="Calibri" w:hAnsi="Calibri"/>
              </w:rPr>
              <w:t xml:space="preserve">READING THE ANALYSIS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Each item shows its standard, DOK, correct key, and TCAP reporting category, plus a reteach move. Distractor-based routing: a wrong choice signals which idea to reteach — pair with the workbook Cornell notes and Guided Support. Assessment items are classroom-formative · pre-field-test.</w:t>
            </w:r>
          </w:p>
        </w:tc>
      </w:tr>
    </w:tbl>
    <w:p>
      <w:pPr>
        <w:pStyle w:val="Heading2"/>
        <w:keepNext/>
        <w:spacing w:before="150" w:after="90"/>
      </w:pPr>
      <w:r>
        <w:rPr>
          <w:b/>
          <w:bCs/>
          <w:i w:val="false"/>
          <w:iCs w:val="false"/>
          <w:color w:val="1B2A4A"/>
          <w:sz w:val="28"/>
          <w:szCs w:val="28"/>
          <w:rFonts w:ascii="Calibri" w:cs="Calibri" w:eastAsia="Calibri" w:hAnsi="Calibri"/>
        </w:rPr>
        <w:t xml:space="preserve">Form A — key &amp; reteach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900"/>
        <w:gridCol w:w="900"/>
        <w:gridCol w:w="1900"/>
        <w:gridCol w:w="3948"/>
      </w:tblGrid>
      <w:tr>
        <w:trPr>
          <w:tblHeader/>
        </w:trP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Item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Standard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DOK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Key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Reporting cat.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What’s Next if missed (reteach)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GC.23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RC-GOV6: Civil Liberties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Revisit The First Amendment in Court — Cornell cues + Guided Support; re-check with the Exit Ticket.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GC.24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RC-GOV6: Civil Liberties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Revisit The Second Amendment in Court — Cornell cues + Guided Support; re-check with the Exit Ticket.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GC.25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B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RC-GOV6: Civil Liberties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Revisit Rights of the Accused (4th–8th Amendments) — Cornell cues + Guided Support; re-check with the Exit Ticket.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GC.26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D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RC-GOV6: Civil Liberties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Revisit The 14th Amendment — Equal Protection &amp; Due Process — Cornell cues + Guided Support; re-check with the Exit Ticket.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5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GC.27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RC-GOV6: Civil Liberties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Revisit Rights for the Underserved — Cornell cues + Guided Support; re-check with the Exit Ticket.</w:t>
            </w:r>
          </w:p>
        </w:tc>
      </w:tr>
    </w:tbl>
    <w:p>
      <w:pPr>
        <w:pStyle w:val="Heading2"/>
        <w:keepNext/>
        <w:spacing w:before="150" w:after="90"/>
      </w:pPr>
      <w:r>
        <w:rPr>
          <w:b/>
          <w:bCs/>
          <w:i w:val="false"/>
          <w:iCs w:val="false"/>
          <w:color w:val="1B2A4A"/>
          <w:sz w:val="28"/>
          <w:szCs w:val="28"/>
          <w:rFonts w:ascii="Calibri" w:cs="Calibri" w:eastAsia="Calibri" w:hAnsi="Calibri"/>
        </w:rPr>
        <w:t xml:space="preserve">Form B — key &amp; reteach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900"/>
        <w:gridCol w:w="900"/>
        <w:gridCol w:w="1900"/>
        <w:gridCol w:w="3948"/>
      </w:tblGrid>
      <w:tr>
        <w:trPr>
          <w:tblHeader/>
        </w:trP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Item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Standard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DOK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Key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Reporting cat.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What’s Next if missed (reteach)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GC.23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D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RC-GOV6: Civil Liberties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Revisit The First Amendment in Court — Cornell cues + Guided Support; re-check with the Exit Ticket.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GC.24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RC-GOV6: Civil Liberties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Revisit The Second Amendment in Court — Cornell cues + Guided Support; re-check with the Exit Ticket.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GC.25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B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RC-GOV6: Civil Liberties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Revisit Rights of the Accused (4th–8th Amendments) — Cornell cues + Guided Support; re-check with the Exit Ticket.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GC.26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RC-GOV6: Civil Liberties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Revisit The 14th Amendment — Equal Protection &amp; Due Process — Cornell cues + Guided Support; re-check with the Exit Ticket.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5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GC.27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D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RC-GOV6: Civil Liberties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Revisit Rights for the Underserved — Cornell cues + Guided Support; re-check with the Exit Ticket.</w:t>
            </w:r>
          </w:p>
        </w:tc>
      </w:tr>
    </w:tbl>
    <w:p>
      <w:pPr>
        <w:pStyle w:val="Heading2"/>
        <w:keepNext/>
        <w:spacing w:before="150" w:after="90"/>
      </w:pPr>
      <w:r>
        <w:rPr>
          <w:b/>
          <w:bCs/>
          <w:i w:val="false"/>
          <w:iCs w:val="false"/>
          <w:color w:val="1B2A4A"/>
          <w:sz w:val="28"/>
          <w:szCs w:val="28"/>
          <w:rFonts w:ascii="Calibri" w:cs="Calibri" w:eastAsia="Calibri" w:hAnsi="Calibri"/>
        </w:rPr>
        <w:t xml:space="preserve">Formative Checkpoints — key &amp; reteach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900"/>
        <w:gridCol w:w="900"/>
        <w:gridCol w:w="1900"/>
        <w:gridCol w:w="3948"/>
      </w:tblGrid>
      <w:tr>
        <w:trPr>
          <w:tblHeader/>
        </w:trP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Item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Standard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DOK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Key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Reporting cat.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What’s Next if missed (reteach)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GC.23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B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RC-GOV6: Civil Liberties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Revisit The First Amendment in Court — Cornell cues + Guided Support; re-check with the Exit Ticket.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GC.24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D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RC-GOV6: Civil Liberties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Revisit The Second Amendment in Court — Cornell cues + Guided Support; re-check with the Exit Ticket.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GC.25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RC-GOV6: Civil Liberties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Revisit Rights of the Accused (4th–8th Amendments) — Cornell cues + Guided Support; re-check with the Exit Ticket.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GC.26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RC-GOV6: Civil Liberties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Revisit The 14th Amendment — Equal Protection &amp; Due Process — Cornell cues + Guided Support; re-check with the Exit Ticket.</w:t>
            </w:r>
          </w:p>
        </w:tc>
      </w:tr>
      <w:tr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5</w:t>
            </w:r>
          </w:p>
        </w:tc>
        <w:tc>
          <w:tcPr>
            <w:tcW w:type="dxa" w:w="11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GC.27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B</w:t>
            </w:r>
          </w:p>
        </w:tc>
        <w:tc>
          <w:tcPr>
            <w:tcW w:type="dxa" w:w="19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RC-GOV6: Civil Liberties</w:t>
            </w:r>
          </w:p>
        </w:tc>
        <w:tc>
          <w:tcPr>
            <w:tcW w:type="dxa" w:w="39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Revisit Rights for the Underserved — Cornell cues + Guided Support; re-check with the Exit Ticket.</w:t>
            </w:r>
          </w:p>
        </w:tc>
      </w:tr>
    </w:tbl>
    <w:p>
      <w:pPr>
        <w:pStyle w:val="Heading1"/>
        <w:keepNext/>
        <w:pageBreakBefore/>
        <w:spacing w:before="20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Part 5 — Psychometric Blueprint (Teacher)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rFonts w:ascii="Calibri" w:cs="Calibri" w:eastAsia="Calibri" w:hAnsi="Calibri"/>
              </w:rPr>
              <w:t xml:space="preserve">ABOUT THESE NUMBERS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Every item carries a cognitive-rigor classification (Webb’s DOK × Bloom’s, located on the Hess Cognitive Rigor Matrix) and a pre-calibration IRT 3PL estimate: a = discrimination, b = difficulty, c = pseudo-guessing.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These IRT parameters are DESIGN-TIME ESTIMATES, not empirical calibrations. IRT 3PL parameters are pre-field-test design-time estimates, to be calibrated on field-test data. Assessment items are classroom-formative · pre-field-test.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Distractor codes: PK prior-knowledge · MC misconception · PE partial evidence · NE nearby error · CA causal attribution · AN anachronism · OG overgeneralization.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rFonts w:ascii="Calibri" w:cs="Calibri" w:eastAsia="Calibri" w:hAnsi="Calibri"/>
              </w:rPr>
              <w:t xml:space="preserve">BANK DISTRIBUTION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DOK: 1: 2   ·   2: 9   ·   3: 4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Bloom’s: Understand: 9   ·   Remember: 2   ·   Apply: 2   ·   Analyze: 1   ·   Evaluate: 1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Mean discrimination a ≈ 1.353   ·   Mean difficulty b ≈ 0.16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Field-test-ready items: 15 of 15</w:t>
            </w:r>
          </w:p>
        </w:tc>
      </w:tr>
    </w:tbl>
    <w:p>
      <w:pPr>
        <w:pStyle w:val="Heading2"/>
        <w:keepNext/>
        <w:spacing w:before="150" w:after="90"/>
      </w:pPr>
      <w:r>
        <w:rPr>
          <w:b/>
          <w:bCs/>
          <w:i w:val="false"/>
          <w:iCs w:val="false"/>
          <w:color w:val="1B2A4A"/>
          <w:sz w:val="28"/>
          <w:szCs w:val="28"/>
          <w:rFonts w:ascii="Calibri" w:cs="Calibri" w:eastAsia="Calibri" w:hAnsi="Calibri"/>
        </w:rPr>
        <w:t xml:space="preserve">Form A — item psychometrics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80"/>
        <w:gridCol w:w="700"/>
        <w:gridCol w:w="1560"/>
        <w:gridCol w:w="600"/>
        <w:gridCol w:w="600"/>
        <w:gridCol w:w="600"/>
        <w:gridCol w:w="680"/>
        <w:gridCol w:w="720"/>
        <w:gridCol w:w="2568"/>
      </w:tblGrid>
      <w:tr>
        <w:trPr>
          <w:tblHeader/>
        </w:trPr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Item</w:t>
            </w:r>
          </w:p>
        </w:tc>
        <w:tc>
          <w:tcPr>
            <w:tcW w:type="dxa" w:w="9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Std</w:t>
            </w:r>
          </w:p>
        </w:tc>
        <w:tc>
          <w:tcPr>
            <w:tcW w:type="dxa" w:w="7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DOK</w:t>
            </w:r>
          </w:p>
        </w:tc>
        <w:tc>
          <w:tcPr>
            <w:tcW w:type="dxa" w:w="156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Bloom’s (Hess cell)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b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6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C3</w:t>
            </w:r>
          </w:p>
        </w:tc>
        <w:tc>
          <w:tcPr>
            <w:tcW w:type="dxa" w:w="7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FT?</w:t>
            </w:r>
          </w:p>
        </w:tc>
        <w:tc>
          <w:tcPr>
            <w:tcW w:type="dxa" w:w="256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Distractor codes</w:t>
            </w:r>
          </w:p>
        </w:tc>
      </w:tr>
      <w:tr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9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GC.23</w:t>
            </w:r>
          </w:p>
        </w:tc>
        <w:tc>
          <w:tcPr>
            <w:tcW w:type="dxa" w:w="7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156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Apply × DOK 3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1.6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0.7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0.2</w:t>
            </w:r>
          </w:p>
        </w:tc>
        <w:tc>
          <w:tcPr>
            <w:tcW w:type="dxa" w:w="6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D2</w:t>
            </w:r>
          </w:p>
        </w:tc>
        <w:tc>
          <w:tcPr>
            <w:tcW w:type="dxa" w:w="7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Y</w:t>
            </w:r>
          </w:p>
        </w:tc>
        <w:tc>
          <w:tcPr>
            <w:tcW w:type="dxa" w:w="256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B:MC C:OG D:PE</w:t>
            </w:r>
          </w:p>
        </w:tc>
      </w:tr>
      <w:tr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9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GC.24</w:t>
            </w:r>
          </w:p>
        </w:tc>
        <w:tc>
          <w:tcPr>
            <w:tcW w:type="dxa" w:w="7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156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Understand × DOK 2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1.3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0.3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0.2</w:t>
            </w:r>
          </w:p>
        </w:tc>
        <w:tc>
          <w:tcPr>
            <w:tcW w:type="dxa" w:w="6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D2</w:t>
            </w:r>
          </w:p>
        </w:tc>
        <w:tc>
          <w:tcPr>
            <w:tcW w:type="dxa" w:w="7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Y</w:t>
            </w:r>
          </w:p>
        </w:tc>
        <w:tc>
          <w:tcPr>
            <w:tcW w:type="dxa" w:w="256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A:PK B:PK D:PK</w:t>
            </w:r>
          </w:p>
        </w:tc>
      </w:tr>
      <w:tr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9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GC.25</w:t>
            </w:r>
          </w:p>
        </w:tc>
        <w:tc>
          <w:tcPr>
            <w:tcW w:type="dxa" w:w="7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156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Apply × DOK 3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1.6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0.8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0.2</w:t>
            </w:r>
          </w:p>
        </w:tc>
        <w:tc>
          <w:tcPr>
            <w:tcW w:type="dxa" w:w="6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D2</w:t>
            </w:r>
          </w:p>
        </w:tc>
        <w:tc>
          <w:tcPr>
            <w:tcW w:type="dxa" w:w="7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Y</w:t>
            </w:r>
          </w:p>
        </w:tc>
        <w:tc>
          <w:tcPr>
            <w:tcW w:type="dxa" w:w="256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A:MC C:OG D:PK</w:t>
            </w:r>
          </w:p>
        </w:tc>
      </w:tr>
      <w:tr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9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GC.26</w:t>
            </w:r>
          </w:p>
        </w:tc>
        <w:tc>
          <w:tcPr>
            <w:tcW w:type="dxa" w:w="7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156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Analyze × DOK 3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1.7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0.2</w:t>
            </w:r>
          </w:p>
        </w:tc>
        <w:tc>
          <w:tcPr>
            <w:tcW w:type="dxa" w:w="6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D2</w:t>
            </w:r>
          </w:p>
        </w:tc>
        <w:tc>
          <w:tcPr>
            <w:tcW w:type="dxa" w:w="7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Y</w:t>
            </w:r>
          </w:p>
        </w:tc>
        <w:tc>
          <w:tcPr>
            <w:tcW w:type="dxa" w:w="256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A:MC B:NE C:MC</w:t>
            </w:r>
          </w:p>
        </w:tc>
      </w:tr>
      <w:tr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5</w:t>
            </w:r>
          </w:p>
        </w:tc>
        <w:tc>
          <w:tcPr>
            <w:tcW w:type="dxa" w:w="9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GC.27</w:t>
            </w:r>
          </w:p>
        </w:tc>
        <w:tc>
          <w:tcPr>
            <w:tcW w:type="dxa" w:w="7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156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Understand × DOK 2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1.2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0.1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0.2</w:t>
            </w:r>
          </w:p>
        </w:tc>
        <w:tc>
          <w:tcPr>
            <w:tcW w:type="dxa" w:w="6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D2</w:t>
            </w:r>
          </w:p>
        </w:tc>
        <w:tc>
          <w:tcPr>
            <w:tcW w:type="dxa" w:w="7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Y</w:t>
            </w:r>
          </w:p>
        </w:tc>
        <w:tc>
          <w:tcPr>
            <w:tcW w:type="dxa" w:w="256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B:PK C:PK D:PK</w:t>
            </w:r>
          </w:p>
        </w:tc>
      </w:tr>
    </w:tbl>
    <w:p>
      <w:pPr>
        <w:pStyle w:val="Heading2"/>
        <w:keepNext/>
        <w:spacing w:before="150" w:after="90"/>
      </w:pPr>
      <w:r>
        <w:rPr>
          <w:b/>
          <w:bCs/>
          <w:i w:val="false"/>
          <w:iCs w:val="false"/>
          <w:color w:val="1B2A4A"/>
          <w:sz w:val="28"/>
          <w:szCs w:val="28"/>
          <w:rFonts w:ascii="Calibri" w:cs="Calibri" w:eastAsia="Calibri" w:hAnsi="Calibri"/>
        </w:rPr>
        <w:t xml:space="preserve">Form B — item psychometrics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80"/>
        <w:gridCol w:w="700"/>
        <w:gridCol w:w="1560"/>
        <w:gridCol w:w="600"/>
        <w:gridCol w:w="600"/>
        <w:gridCol w:w="600"/>
        <w:gridCol w:w="680"/>
        <w:gridCol w:w="720"/>
        <w:gridCol w:w="2568"/>
      </w:tblGrid>
      <w:tr>
        <w:trPr>
          <w:tblHeader/>
        </w:trPr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Item</w:t>
            </w:r>
          </w:p>
        </w:tc>
        <w:tc>
          <w:tcPr>
            <w:tcW w:type="dxa" w:w="9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Std</w:t>
            </w:r>
          </w:p>
        </w:tc>
        <w:tc>
          <w:tcPr>
            <w:tcW w:type="dxa" w:w="7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DOK</w:t>
            </w:r>
          </w:p>
        </w:tc>
        <w:tc>
          <w:tcPr>
            <w:tcW w:type="dxa" w:w="156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Bloom’s (Hess cell)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b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6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C3</w:t>
            </w:r>
          </w:p>
        </w:tc>
        <w:tc>
          <w:tcPr>
            <w:tcW w:type="dxa" w:w="7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FT?</w:t>
            </w:r>
          </w:p>
        </w:tc>
        <w:tc>
          <w:tcPr>
            <w:tcW w:type="dxa" w:w="256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Distractor codes</w:t>
            </w:r>
          </w:p>
        </w:tc>
      </w:tr>
      <w:tr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9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GC.23</w:t>
            </w:r>
          </w:p>
        </w:tc>
        <w:tc>
          <w:tcPr>
            <w:tcW w:type="dxa" w:w="7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156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Understand × DOK 2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1.3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0.2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0.2</w:t>
            </w:r>
          </w:p>
        </w:tc>
        <w:tc>
          <w:tcPr>
            <w:tcW w:type="dxa" w:w="6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D2</w:t>
            </w:r>
          </w:p>
        </w:tc>
        <w:tc>
          <w:tcPr>
            <w:tcW w:type="dxa" w:w="7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Y</w:t>
            </w:r>
          </w:p>
        </w:tc>
        <w:tc>
          <w:tcPr>
            <w:tcW w:type="dxa" w:w="256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A:PK B:PK C:PK</w:t>
            </w:r>
          </w:p>
        </w:tc>
      </w:tr>
      <w:tr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9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GC.24</w:t>
            </w:r>
          </w:p>
        </w:tc>
        <w:tc>
          <w:tcPr>
            <w:tcW w:type="dxa" w:w="7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156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Understand × DOK 2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1.4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0.4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0.2</w:t>
            </w:r>
          </w:p>
        </w:tc>
        <w:tc>
          <w:tcPr>
            <w:tcW w:type="dxa" w:w="6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D2</w:t>
            </w:r>
          </w:p>
        </w:tc>
        <w:tc>
          <w:tcPr>
            <w:tcW w:type="dxa" w:w="7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Y</w:t>
            </w:r>
          </w:p>
        </w:tc>
        <w:tc>
          <w:tcPr>
            <w:tcW w:type="dxa" w:w="256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B:MC C:OG D:MC</w:t>
            </w:r>
          </w:p>
        </w:tc>
      </w:tr>
      <w:tr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9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GC.25</w:t>
            </w:r>
          </w:p>
        </w:tc>
        <w:tc>
          <w:tcPr>
            <w:tcW w:type="dxa" w:w="7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156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Remember × DOK 1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-1.2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0.2</w:t>
            </w:r>
          </w:p>
        </w:tc>
        <w:tc>
          <w:tcPr>
            <w:tcW w:type="dxa" w:w="6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D2</w:t>
            </w:r>
          </w:p>
        </w:tc>
        <w:tc>
          <w:tcPr>
            <w:tcW w:type="dxa" w:w="7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Y</w:t>
            </w:r>
          </w:p>
        </w:tc>
        <w:tc>
          <w:tcPr>
            <w:tcW w:type="dxa" w:w="256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A:NE C:NE D:PK</w:t>
            </w:r>
          </w:p>
        </w:tc>
      </w:tr>
      <w:tr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9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GC.26</w:t>
            </w:r>
          </w:p>
        </w:tc>
        <w:tc>
          <w:tcPr>
            <w:tcW w:type="dxa" w:w="7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156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Understand × DOK 2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1.3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0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0.2</w:t>
            </w:r>
          </w:p>
        </w:tc>
        <w:tc>
          <w:tcPr>
            <w:tcW w:type="dxa" w:w="6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D2</w:t>
            </w:r>
          </w:p>
        </w:tc>
        <w:tc>
          <w:tcPr>
            <w:tcW w:type="dxa" w:w="7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Y</w:t>
            </w:r>
          </w:p>
        </w:tc>
        <w:tc>
          <w:tcPr>
            <w:tcW w:type="dxa" w:w="256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A:PK B:PK D:PK</w:t>
            </w:r>
          </w:p>
        </w:tc>
      </w:tr>
      <w:tr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5</w:t>
            </w:r>
          </w:p>
        </w:tc>
        <w:tc>
          <w:tcPr>
            <w:tcW w:type="dxa" w:w="9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GC.27</w:t>
            </w:r>
          </w:p>
        </w:tc>
        <w:tc>
          <w:tcPr>
            <w:tcW w:type="dxa" w:w="7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156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Evaluate × DOK 3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1.7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1.1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0.2</w:t>
            </w:r>
          </w:p>
        </w:tc>
        <w:tc>
          <w:tcPr>
            <w:tcW w:type="dxa" w:w="6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D3</w:t>
            </w:r>
          </w:p>
        </w:tc>
        <w:tc>
          <w:tcPr>
            <w:tcW w:type="dxa" w:w="7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Y</w:t>
            </w:r>
          </w:p>
        </w:tc>
        <w:tc>
          <w:tcPr>
            <w:tcW w:type="dxa" w:w="256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A:PK B:MC C:PK</w:t>
            </w:r>
          </w:p>
        </w:tc>
      </w:tr>
    </w:tbl>
    <w:p>
      <w:pPr>
        <w:pStyle w:val="Heading2"/>
        <w:keepNext/>
        <w:spacing w:before="150" w:after="90"/>
      </w:pPr>
      <w:r>
        <w:rPr>
          <w:b/>
          <w:bCs/>
          <w:i w:val="false"/>
          <w:iCs w:val="false"/>
          <w:color w:val="1B2A4A"/>
          <w:sz w:val="28"/>
          <w:szCs w:val="28"/>
          <w:rFonts w:ascii="Calibri" w:cs="Calibri" w:eastAsia="Calibri" w:hAnsi="Calibri"/>
        </w:rPr>
        <w:t xml:space="preserve">Formative — item psychometrics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80"/>
        <w:gridCol w:w="700"/>
        <w:gridCol w:w="1560"/>
        <w:gridCol w:w="600"/>
        <w:gridCol w:w="600"/>
        <w:gridCol w:w="600"/>
        <w:gridCol w:w="680"/>
        <w:gridCol w:w="720"/>
        <w:gridCol w:w="2568"/>
      </w:tblGrid>
      <w:tr>
        <w:trPr>
          <w:tblHeader/>
        </w:trPr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Item</w:t>
            </w:r>
          </w:p>
        </w:tc>
        <w:tc>
          <w:tcPr>
            <w:tcW w:type="dxa" w:w="9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Std</w:t>
            </w:r>
          </w:p>
        </w:tc>
        <w:tc>
          <w:tcPr>
            <w:tcW w:type="dxa" w:w="7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DOK</w:t>
            </w:r>
          </w:p>
        </w:tc>
        <w:tc>
          <w:tcPr>
            <w:tcW w:type="dxa" w:w="156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Bloom’s (Hess cell)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a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b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6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C3</w:t>
            </w:r>
          </w:p>
        </w:tc>
        <w:tc>
          <w:tcPr>
            <w:tcW w:type="dxa" w:w="7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FT?</w:t>
            </w:r>
          </w:p>
        </w:tc>
        <w:tc>
          <w:tcPr>
            <w:tcW w:type="dxa" w:w="256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Distractor codes</w:t>
            </w:r>
          </w:p>
        </w:tc>
      </w:tr>
      <w:tr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9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GC.23</w:t>
            </w:r>
          </w:p>
        </w:tc>
        <w:tc>
          <w:tcPr>
            <w:tcW w:type="dxa" w:w="7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156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Understand × DOK 2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1.3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0.1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0.2</w:t>
            </w:r>
          </w:p>
        </w:tc>
        <w:tc>
          <w:tcPr>
            <w:tcW w:type="dxa" w:w="6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D2</w:t>
            </w:r>
          </w:p>
        </w:tc>
        <w:tc>
          <w:tcPr>
            <w:tcW w:type="dxa" w:w="7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Y</w:t>
            </w:r>
          </w:p>
        </w:tc>
        <w:tc>
          <w:tcPr>
            <w:tcW w:type="dxa" w:w="256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A:MC C:MC D:NE</w:t>
            </w:r>
          </w:p>
        </w:tc>
      </w:tr>
      <w:tr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9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GC.24</w:t>
            </w:r>
          </w:p>
        </w:tc>
        <w:tc>
          <w:tcPr>
            <w:tcW w:type="dxa" w:w="7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156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Understand × DOK 2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1.2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0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0.2</w:t>
            </w:r>
          </w:p>
        </w:tc>
        <w:tc>
          <w:tcPr>
            <w:tcW w:type="dxa" w:w="6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D2</w:t>
            </w:r>
          </w:p>
        </w:tc>
        <w:tc>
          <w:tcPr>
            <w:tcW w:type="dxa" w:w="7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Y</w:t>
            </w:r>
          </w:p>
        </w:tc>
        <w:tc>
          <w:tcPr>
            <w:tcW w:type="dxa" w:w="256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A:MC B:NE C:OG</w:t>
            </w:r>
          </w:p>
        </w:tc>
      </w:tr>
      <w:tr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9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GC.25</w:t>
            </w:r>
          </w:p>
        </w:tc>
        <w:tc>
          <w:tcPr>
            <w:tcW w:type="dxa" w:w="7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156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Understand × DOK 2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1.3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-0.1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0.2</w:t>
            </w:r>
          </w:p>
        </w:tc>
        <w:tc>
          <w:tcPr>
            <w:tcW w:type="dxa" w:w="6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D2</w:t>
            </w:r>
          </w:p>
        </w:tc>
        <w:tc>
          <w:tcPr>
            <w:tcW w:type="dxa" w:w="7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Y</w:t>
            </w:r>
          </w:p>
        </w:tc>
        <w:tc>
          <w:tcPr>
            <w:tcW w:type="dxa" w:w="256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B:MC C:PK D:MC</w:t>
            </w:r>
          </w:p>
        </w:tc>
      </w:tr>
      <w:tr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9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GC.26</w:t>
            </w:r>
          </w:p>
        </w:tc>
        <w:tc>
          <w:tcPr>
            <w:tcW w:type="dxa" w:w="7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156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Understand × DOK 2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1.4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0.2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0.2</w:t>
            </w:r>
          </w:p>
        </w:tc>
        <w:tc>
          <w:tcPr>
            <w:tcW w:type="dxa" w:w="6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D2</w:t>
            </w:r>
          </w:p>
        </w:tc>
        <w:tc>
          <w:tcPr>
            <w:tcW w:type="dxa" w:w="7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Y</w:t>
            </w:r>
          </w:p>
        </w:tc>
        <w:tc>
          <w:tcPr>
            <w:tcW w:type="dxa" w:w="256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A:MC B:MC D:NE</w:t>
            </w:r>
          </w:p>
        </w:tc>
      </w:tr>
      <w:tr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5</w:t>
            </w:r>
          </w:p>
        </w:tc>
        <w:tc>
          <w:tcPr>
            <w:tcW w:type="dxa" w:w="9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GC.27</w:t>
            </w:r>
          </w:p>
        </w:tc>
        <w:tc>
          <w:tcPr>
            <w:tcW w:type="dxa" w:w="7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156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Remember × DOK 1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-1.2</w:t>
            </w:r>
          </w:p>
        </w:tc>
        <w:tc>
          <w:tcPr>
            <w:tcW w:type="dxa" w:w="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0.2</w:t>
            </w:r>
          </w:p>
        </w:tc>
        <w:tc>
          <w:tcPr>
            <w:tcW w:type="dxa" w:w="68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D2</w:t>
            </w:r>
          </w:p>
        </w:tc>
        <w:tc>
          <w:tcPr>
            <w:tcW w:type="dxa" w:w="7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Y</w:t>
            </w:r>
          </w:p>
        </w:tc>
        <w:tc>
          <w:tcPr>
            <w:tcW w:type="dxa" w:w="256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rFonts w:ascii="Calibri" w:cs="Calibri" w:eastAsia="Calibri" w:hAnsi="Calibri"/>
              </w:rPr>
              <w:t xml:space="preserve">A:OG C:MC D:PK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152" w:right="1296" w:bottom="1152" w:left="1296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b w:val="false"/>
        <w:bCs w:val="false"/>
        <w:i w:val="false"/>
        <w:iCs w:val="false"/>
        <w:color w:val="6B7280"/>
        <w:sz w:val="16"/>
        <w:szCs w:val="16"/>
        <w:rFonts w:ascii="Calibri" w:cs="Calibri" w:eastAsia="Calibri" w:hAnsi="Calibri"/>
      </w:rPr>
      <w:t xml:space="preserve">Government Hack™ · Unit 6 (Course Standard) © 2026 TroopToTeacher Technologies LLC   |   Page </w:t>
    </w:r>
    <w:r>
      <w:rPr>
        <w:color w:val="6B7280"/>
        <w:sz w:val="16"/>
        <w:szCs w:val="16"/>
        <w:rFonts w:ascii="Calibri" w:cs="Calibri" w:eastAsia="Calibri" w:hAnsi="Calibri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b/>
        <w:bCs/>
        <w:i w:val="false"/>
        <w:iCs w:val="false"/>
        <w:color w:val="C89B3C"/>
        <w:sz w:val="16"/>
        <w:szCs w:val="16"/>
        <w:rFonts w:ascii="Calibri" w:cs="Calibri" w:eastAsia="Calibri" w:hAnsi="Calibri"/>
      </w:rPr>
      <w:t xml:space="preserve">Government Hack™ · Unit 6 · Assessment Book (Teacher)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A1A1A"/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2026-07-30T02:36:46.983Z</dcterms:created>
  <dcterms:modified xsi:type="dcterms:W3CDTF">2026-07-30T02:36:46.983Z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