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keepNext/>
        <w:spacing w:after="90" w:before="220"/>
      </w:pPr>
      <w:r>
        <w:rPr>
          <w:rFonts w:ascii="Calibri" w:cs="Calibri" w:eastAsia="Calibri" w:hAnsi="Calibri"/>
          <w:b/>
          <w:bCs/>
          <w:i w:val="false"/>
          <w:iCs w:val="false"/>
          <w:color w:val="1B2A4A"/>
          <w:sz w:val="36"/>
          <w:szCs w:val="36"/>
        </w:rPr>
        <w:t xml:space="preserve">Unit 5 — Teacher How-to-Use &amp; MTSS Guide</w:t>
      </w:r>
    </w:p>
    <w:p>
      <w:pPr>
        <w:spacing w:after="100"/>
      </w:pPr>
      <w:r>
        <w:rPr>
          <w:rFonts w:ascii="Calibri" w:cs="Calibri" w:eastAsia="Calibri" w:hAnsi="Calibri"/>
          <w:b/>
          <w:bCs/>
          <w:i w:val="false"/>
          <w:iCs w:val="false"/>
          <w:color w:val="1B2A4A"/>
          <w:sz w:val="22"/>
          <w:szCs w:val="22"/>
        </w:rPr>
        <w:t xml:space="preserve">The Great Depression &amp; New Deal (1929–1941) · Course Standard · US.39–US.44 · Grades 9–12</w:t>
      </w:r>
    </w:p>
    <w:p>
      <w:pPr>
        <w:spacing w:after="100"/>
      </w:pPr>
      <w:r>
        <w:rPr>
          <w:rFonts w:ascii="Calibri" w:cs="Calibri" w:eastAsia="Calibri" w:hAnsi="Calibri"/>
          <w:b w:val="false"/>
          <w:bCs w:val="false"/>
          <w:i/>
          <w:iCs/>
          <w:color w:val="6B7280"/>
          <w:sz w:val="20"/>
          <w:szCs w:val="20"/>
        </w:rPr>
        <w:t xml:space="preserve">Release-Ready · Pilot Edition. This guide holds the answer key for teacher use only — keep it separate from student materials.</w:t>
      </w:r>
    </w:p>
    <w:p>
      <w:pPr>
        <w:pStyle w:val="Heading1"/>
        <w:keepNext/>
        <w:spacing w:after="90" w:before="220"/>
      </w:pPr>
      <w:r>
        <w:rPr>
          <w:rFonts w:ascii="Calibri" w:cs="Calibri" w:eastAsia="Calibri" w:hAnsi="Calibri"/>
          <w:b/>
          <w:bCs/>
          <w:i w:val="false"/>
          <w:iCs w:val="false"/>
          <w:color w:val="1B2A4A"/>
          <w:sz w:val="36"/>
          <w:szCs w:val="36"/>
        </w:rPr>
        <w:t xml:space="preserve">1. Firm Goals, Flexible Means</w:t>
      </w:r>
    </w:p>
    <w:p>
      <w:pPr>
        <w:spacing w:after="100"/>
      </w:pPr>
      <w:r>
        <w:rPr>
          <w:rFonts w:ascii="Calibri" w:cs="Calibri" w:eastAsia="Calibri" w:hAnsi="Calibri"/>
          <w:b w:val="false"/>
          <w:bCs w:val="false"/>
          <w:i w:val="false"/>
          <w:iCs w:val="false"/>
          <w:color w:val="1A1A1A"/>
          <w:sz w:val="22"/>
          <w:szCs w:val="22"/>
        </w:rPr>
        <w:t xml:space="preserve">One firm learning goal per standard; flexible, universal means. Supports are available by design and never lower the goal. They work alongside — never in place of — required IEP or 504 accommodations.</w:t>
      </w:r>
    </w:p>
    <w:p>
      <w:pPr>
        <w:pStyle w:val="Heading2"/>
        <w:keepNext/>
        <w:spacing w:after="90" w:before="150"/>
      </w:pPr>
      <w:r>
        <w:rPr>
          <w:rFonts w:ascii="Calibri" w:cs="Calibri" w:eastAsia="Calibri" w:hAnsi="Calibri"/>
          <w:b/>
          <w:bCs/>
          <w:i w:val="false"/>
          <w:iCs w:val="false"/>
          <w:color w:val="1B2A4A"/>
          <w:sz w:val="28"/>
          <w:szCs w:val="28"/>
        </w:rPr>
        <w:t xml:space="preserve">The same six labels students see</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600"/>
        <w:gridCol w:w="7048"/>
      </w:tblGrid>
      <w:tr>
        <w:trPr>
          <w:tblHeader/>
        </w:trPr>
        <w:tc>
          <w:tcPr>
            <w:tcW w:type="dxa" w:w="2600"/>
            <w:tcBorders>
              <w:top w:val="single" w:color="D9D5C8" w:sz="4"/>
              <w:left w:val="single" w:color="D9D5C8" w:sz="4"/>
              <w:bottom w:val="single" w:color="D9D5C8" w:sz="4"/>
              <w:right w:val="single" w:color="D9D5C8" w:sz="4"/>
            </w:tcBorders>
            <w:shd w:fill="1B2A4A" w:color="auto" w:val="clear"/>
            <w:tcMar>
              <w:top w:type="dxa" w:w="60"/>
              <w:left w:type="dxa" w:w="110"/>
              <w:bottom w:type="dxa" w:w="60"/>
              <w:right w:type="dxa" w:w="110"/>
            </w:tcMar>
          </w:tcPr>
          <w:p>
            <w:pPr>
              <w:spacing w:after="0"/>
            </w:pPr>
            <w:r>
              <w:rPr>
                <w:rFonts w:ascii="Calibri" w:cs="Calibri" w:eastAsia="Calibri" w:hAnsi="Calibri"/>
                <w:b/>
                <w:bCs/>
                <w:i w:val="false"/>
                <w:iCs w:val="false"/>
                <w:color w:val="FFFFFF"/>
                <w:sz w:val="19"/>
                <w:szCs w:val="19"/>
              </w:rPr>
              <w:t xml:space="preserve">Label</w:t>
            </w:r>
          </w:p>
        </w:tc>
        <w:tc>
          <w:tcPr>
            <w:tcW w:type="dxa" w:w="7048"/>
            <w:tcBorders>
              <w:top w:val="single" w:color="D9D5C8" w:sz="4"/>
              <w:left w:val="single" w:color="D9D5C8" w:sz="4"/>
              <w:bottom w:val="single" w:color="D9D5C8" w:sz="4"/>
              <w:right w:val="single" w:color="D9D5C8" w:sz="4"/>
            </w:tcBorders>
            <w:shd w:fill="1B2A4A" w:color="auto" w:val="clear"/>
            <w:tcMar>
              <w:top w:type="dxa" w:w="60"/>
              <w:left w:type="dxa" w:w="110"/>
              <w:bottom w:type="dxa" w:w="60"/>
              <w:right w:type="dxa" w:w="110"/>
            </w:tcMar>
          </w:tcPr>
          <w:p>
            <w:pPr>
              <w:spacing w:after="0"/>
            </w:pPr>
            <w:r>
              <w:rPr>
                <w:rFonts w:ascii="Calibri" w:cs="Calibri" w:eastAsia="Calibri" w:hAnsi="Calibri"/>
                <w:b/>
                <w:bCs/>
                <w:i w:val="false"/>
                <w:iCs w:val="false"/>
                <w:color w:val="FFFFFF"/>
                <w:sz w:val="19"/>
                <w:szCs w:val="19"/>
              </w:rPr>
              <w:t xml:space="preserve">Meaning</w:t>
            </w:r>
          </w:p>
        </w:tc>
      </w:tr>
      <w:tr>
        <w:tc>
          <w:tcPr>
            <w:tcW w:type="dxa" w:w="26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CORE PATH</w:t>
            </w:r>
          </w:p>
        </w:tc>
        <w:tc>
          <w:tcPr>
            <w:tcW w:type="dxa" w:w="7048"/>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Essential instruction every student completes.</w:t>
            </w:r>
          </w:p>
        </w:tc>
      </w:tr>
      <w:tr>
        <w:tc>
          <w:tcPr>
            <w:tcW w:type="dxa" w:w="26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SUPPORT OPTION</w:t>
            </w:r>
          </w:p>
        </w:tc>
        <w:tc>
          <w:tcPr>
            <w:tcW w:type="dxa" w:w="7048"/>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Optional scaffold that keeps the goal, not lowers it.</w:t>
            </w:r>
          </w:p>
        </w:tc>
      </w:tr>
      <w:tr>
        <w:tc>
          <w:tcPr>
            <w:tcW w:type="dxa" w:w="26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LANGUAGE SUPPORT</w:t>
            </w:r>
          </w:p>
        </w:tc>
        <w:tc>
          <w:tcPr>
            <w:tcW w:type="dxa" w:w="7048"/>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Vocabulary, pronunciation, and Spanish cognates.</w:t>
            </w:r>
          </w:p>
        </w:tc>
      </w:tr>
      <w:tr>
        <w:tc>
          <w:tcPr>
            <w:tcW w:type="dxa" w:w="26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RESPONSE CHOICE</w:t>
            </w:r>
          </w:p>
        </w:tc>
        <w:tc>
          <w:tcPr>
            <w:tcW w:type="dxa" w:w="7048"/>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Write, say/record, or diagram.</w:t>
            </w:r>
          </w:p>
        </w:tc>
      </w:tr>
      <w:tr>
        <w:tc>
          <w:tcPr>
            <w:tcW w:type="dxa" w:w="26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PROGRESS CHECK</w:t>
            </w:r>
          </w:p>
        </w:tc>
        <w:tc>
          <w:tcPr>
            <w:tcW w:type="dxa" w:w="7048"/>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Quick DOK-2/3 check to guide reteach or extend.</w:t>
            </w:r>
          </w:p>
        </w:tc>
      </w:tr>
      <w:tr>
        <w:tc>
          <w:tcPr>
            <w:tcW w:type="dxa" w:w="26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EXTENSION</w:t>
            </w:r>
          </w:p>
        </w:tc>
        <w:tc>
          <w:tcPr>
            <w:tcW w:type="dxa" w:w="7048"/>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Deeper challenge once the goal is met.</w:t>
            </w:r>
          </w:p>
        </w:tc>
      </w:tr>
    </w:tbl>
    <w:p>
      <w:pPr>
        <w:pStyle w:val="Heading1"/>
        <w:keepNext/>
        <w:spacing w:after="90" w:before="220"/>
      </w:pPr>
      <w:r>
        <w:rPr>
          <w:rFonts w:ascii="Calibri" w:cs="Calibri" w:eastAsia="Calibri" w:hAnsi="Calibri"/>
          <w:b/>
          <w:bCs/>
          <w:i w:val="false"/>
          <w:iCs w:val="false"/>
          <w:color w:val="1B2A4A"/>
          <w:sz w:val="36"/>
          <w:szCs w:val="36"/>
        </w:rPr>
        <w:t xml:space="preserve">2. Label-to-Action Table</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000"/>
        <w:gridCol w:w="6648"/>
      </w:tblGrid>
      <w:tr>
        <w:trPr>
          <w:tblHeader/>
        </w:trPr>
        <w:tc>
          <w:tcPr>
            <w:tcW w:type="dxa" w:w="3000"/>
            <w:tcBorders>
              <w:top w:val="single" w:color="D9D5C8" w:sz="4"/>
              <w:left w:val="single" w:color="D9D5C8" w:sz="4"/>
              <w:bottom w:val="single" w:color="D9D5C8" w:sz="4"/>
              <w:right w:val="single" w:color="D9D5C8" w:sz="4"/>
            </w:tcBorders>
            <w:shd w:fill="1B2A4A" w:color="auto" w:val="clear"/>
            <w:tcMar>
              <w:top w:type="dxa" w:w="60"/>
              <w:left w:type="dxa" w:w="110"/>
              <w:bottom w:type="dxa" w:w="60"/>
              <w:right w:type="dxa" w:w="110"/>
            </w:tcMar>
          </w:tcPr>
          <w:p>
            <w:pPr>
              <w:spacing w:after="0"/>
            </w:pPr>
            <w:r>
              <w:rPr>
                <w:rFonts w:ascii="Calibri" w:cs="Calibri" w:eastAsia="Calibri" w:hAnsi="Calibri"/>
                <w:b/>
                <w:bCs/>
                <w:i w:val="false"/>
                <w:iCs w:val="false"/>
                <w:color w:val="FFFFFF"/>
                <w:sz w:val="19"/>
                <w:szCs w:val="19"/>
              </w:rPr>
              <w:t xml:space="preserve">When you see…</w:t>
            </w:r>
          </w:p>
        </w:tc>
        <w:tc>
          <w:tcPr>
            <w:tcW w:type="dxa" w:w="6648"/>
            <w:tcBorders>
              <w:top w:val="single" w:color="D9D5C8" w:sz="4"/>
              <w:left w:val="single" w:color="D9D5C8" w:sz="4"/>
              <w:bottom w:val="single" w:color="D9D5C8" w:sz="4"/>
              <w:right w:val="single" w:color="D9D5C8" w:sz="4"/>
            </w:tcBorders>
            <w:shd w:fill="1B2A4A" w:color="auto" w:val="clear"/>
            <w:tcMar>
              <w:top w:type="dxa" w:w="60"/>
              <w:left w:type="dxa" w:w="110"/>
              <w:bottom w:type="dxa" w:w="60"/>
              <w:right w:type="dxa" w:w="110"/>
            </w:tcMar>
          </w:tcPr>
          <w:p>
            <w:pPr>
              <w:spacing w:after="0"/>
            </w:pPr>
            <w:r>
              <w:rPr>
                <w:rFonts w:ascii="Calibri" w:cs="Calibri" w:eastAsia="Calibri" w:hAnsi="Calibri"/>
                <w:b/>
                <w:bCs/>
                <w:i w:val="false"/>
                <w:iCs w:val="false"/>
                <w:color w:val="FFFFFF"/>
                <w:sz w:val="19"/>
                <w:szCs w:val="19"/>
              </w:rPr>
              <w:t xml:space="preserve">Do this</w:t>
            </w:r>
          </w:p>
        </w:tc>
      </w:tr>
      <w:tr>
        <w:tc>
          <w:tcPr>
            <w:tcW w:type="dxa" w:w="30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CORE PATH</w:t>
            </w:r>
          </w:p>
        </w:tc>
        <w:tc>
          <w:tcPr>
            <w:tcW w:type="dxa" w:w="6648"/>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Teach to all; this is the standard expectation.</w:t>
            </w:r>
          </w:p>
        </w:tc>
      </w:tr>
      <w:tr>
        <w:tc>
          <w:tcPr>
            <w:tcW w:type="dxa" w:w="30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SUPPORT OPTION / Guided Back</w:t>
            </w:r>
          </w:p>
        </w:tc>
        <w:tc>
          <w:tcPr>
            <w:tcW w:type="dxa" w:w="6648"/>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Offer to any student; never assign by track.</w:t>
            </w:r>
          </w:p>
        </w:tc>
      </w:tr>
      <w:tr>
        <w:tc>
          <w:tcPr>
            <w:tcW w:type="dxa" w:w="30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LANGUAGE SUPPORT</w:t>
            </w:r>
          </w:p>
        </w:tc>
        <w:tc>
          <w:tcPr>
            <w:tcW w:type="dxa" w:w="6648"/>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Pre-teach Word Bank terms; use Spanish column for access.</w:t>
            </w:r>
          </w:p>
        </w:tc>
      </w:tr>
      <w:tr>
        <w:tc>
          <w:tcPr>
            <w:tcW w:type="dxa" w:w="30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PROGRESS CHECK</w:t>
            </w:r>
          </w:p>
        </w:tc>
        <w:tc>
          <w:tcPr>
            <w:tcW w:type="dxa" w:w="6648"/>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Collect a quick response; route with the Decision Cycle.</w:t>
            </w:r>
          </w:p>
        </w:tc>
      </w:tr>
      <w:tr>
        <w:tc>
          <w:tcPr>
            <w:tcW w:type="dxa" w:w="30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EXTENSION</w:t>
            </w:r>
          </w:p>
        </w:tc>
        <w:tc>
          <w:tcPr>
            <w:tcW w:type="dxa" w:w="6648"/>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Offer the higher-DOK CER/Extension Bank to anyone ready.</w:t>
            </w:r>
          </w:p>
        </w:tc>
      </w:tr>
    </w:tbl>
    <w:p>
      <w:pPr>
        <w:pStyle w:val="Heading1"/>
        <w:keepNext/>
        <w:spacing w:after="90" w:before="220"/>
      </w:pPr>
      <w:r>
        <w:rPr>
          <w:rFonts w:ascii="Calibri" w:cs="Calibri" w:eastAsia="Calibri" w:hAnsi="Calibri"/>
          <w:b/>
          <w:bCs/>
          <w:i w:val="false"/>
          <w:iCs w:val="false"/>
          <w:color w:val="1B2A4A"/>
          <w:sz w:val="36"/>
          <w:szCs w:val="36"/>
        </w:rPr>
        <w:t xml:space="preserve">3. MTSS — Tiers of Support Intensity</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4648"/>
      </w:tblGrid>
      <w:tr>
        <w:trPr>
          <w:tblHeader/>
        </w:trPr>
        <w:tc>
          <w:tcPr>
            <w:tcW w:type="dxa" w:w="1800"/>
            <w:tcBorders>
              <w:top w:val="single" w:color="D9D5C8" w:sz="4"/>
              <w:left w:val="single" w:color="D9D5C8" w:sz="4"/>
              <w:bottom w:val="single" w:color="D9D5C8" w:sz="4"/>
              <w:right w:val="single" w:color="D9D5C8" w:sz="4"/>
            </w:tcBorders>
            <w:shd w:fill="1B2A4A" w:color="auto" w:val="clear"/>
            <w:tcMar>
              <w:top w:type="dxa" w:w="60"/>
              <w:left w:type="dxa" w:w="110"/>
              <w:bottom w:type="dxa" w:w="60"/>
              <w:right w:type="dxa" w:w="110"/>
            </w:tcMar>
          </w:tcPr>
          <w:p>
            <w:pPr>
              <w:spacing w:after="0"/>
            </w:pPr>
            <w:r>
              <w:rPr>
                <w:rFonts w:ascii="Calibri" w:cs="Calibri" w:eastAsia="Calibri" w:hAnsi="Calibri"/>
                <w:b/>
                <w:bCs/>
                <w:i w:val="false"/>
                <w:iCs w:val="false"/>
                <w:color w:val="FFFFFF"/>
                <w:sz w:val="19"/>
                <w:szCs w:val="19"/>
              </w:rPr>
              <w:t xml:space="preserve">Tier</w:t>
            </w:r>
          </w:p>
        </w:tc>
        <w:tc>
          <w:tcPr>
            <w:tcW w:type="dxa" w:w="3200"/>
            <w:tcBorders>
              <w:top w:val="single" w:color="D9D5C8" w:sz="4"/>
              <w:left w:val="single" w:color="D9D5C8" w:sz="4"/>
              <w:bottom w:val="single" w:color="D9D5C8" w:sz="4"/>
              <w:right w:val="single" w:color="D9D5C8" w:sz="4"/>
            </w:tcBorders>
            <w:shd w:fill="1B2A4A" w:color="auto" w:val="clear"/>
            <w:tcMar>
              <w:top w:type="dxa" w:w="60"/>
              <w:left w:type="dxa" w:w="110"/>
              <w:bottom w:type="dxa" w:w="60"/>
              <w:right w:type="dxa" w:w="110"/>
            </w:tcMar>
          </w:tcPr>
          <w:p>
            <w:pPr>
              <w:spacing w:after="0"/>
            </w:pPr>
            <w:r>
              <w:rPr>
                <w:rFonts w:ascii="Calibri" w:cs="Calibri" w:eastAsia="Calibri" w:hAnsi="Calibri"/>
                <w:b/>
                <w:bCs/>
                <w:i w:val="false"/>
                <w:iCs w:val="false"/>
                <w:color w:val="FFFFFF"/>
                <w:sz w:val="19"/>
                <w:szCs w:val="19"/>
              </w:rPr>
              <w:t xml:space="preserve">Who / when</w:t>
            </w:r>
          </w:p>
        </w:tc>
        <w:tc>
          <w:tcPr>
            <w:tcW w:type="dxa" w:w="4648"/>
            <w:tcBorders>
              <w:top w:val="single" w:color="D9D5C8" w:sz="4"/>
              <w:left w:val="single" w:color="D9D5C8" w:sz="4"/>
              <w:bottom w:val="single" w:color="D9D5C8" w:sz="4"/>
              <w:right w:val="single" w:color="D9D5C8" w:sz="4"/>
            </w:tcBorders>
            <w:shd w:fill="1B2A4A" w:color="auto" w:val="clear"/>
            <w:tcMar>
              <w:top w:type="dxa" w:w="60"/>
              <w:left w:type="dxa" w:w="110"/>
              <w:bottom w:type="dxa" w:w="60"/>
              <w:right w:type="dxa" w:w="110"/>
            </w:tcMar>
          </w:tcPr>
          <w:p>
            <w:pPr>
              <w:spacing w:after="0"/>
            </w:pPr>
            <w:r>
              <w:rPr>
                <w:rFonts w:ascii="Calibri" w:cs="Calibri" w:eastAsia="Calibri" w:hAnsi="Calibri"/>
                <w:b/>
                <w:bCs/>
                <w:i w:val="false"/>
                <w:iCs w:val="false"/>
                <w:color w:val="FFFFFF"/>
                <w:sz w:val="19"/>
                <w:szCs w:val="19"/>
              </w:rPr>
              <w:t xml:space="preserve">In this unit</w:t>
            </w:r>
          </w:p>
        </w:tc>
      </w:tr>
      <w:tr>
        <w:tc>
          <w:tcPr>
            <w:tcW w:type="dxa" w:w="18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Tier 1 (Core)</w:t>
            </w:r>
          </w:p>
        </w:tc>
        <w:tc>
          <w:tcPr>
            <w:tcW w:type="dxa" w:w="32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All students</w:t>
            </w:r>
          </w:p>
        </w:tc>
        <w:tc>
          <w:tcPr>
            <w:tcW w:type="dxa" w:w="4648"/>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Full deck + workbook CORE PATH, Word Bank, Cornell Notes.</w:t>
            </w:r>
          </w:p>
        </w:tc>
      </w:tr>
      <w:tr>
        <w:tc>
          <w:tcPr>
            <w:tcW w:type="dxa" w:w="18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Tier 2 (Targeted)</w:t>
            </w:r>
          </w:p>
        </w:tc>
        <w:tc>
          <w:tcPr>
            <w:tcW w:type="dxa" w:w="32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Students missing a Progress Check</w:t>
            </w:r>
          </w:p>
        </w:tc>
        <w:tc>
          <w:tcPr>
            <w:tcW w:type="dxa" w:w="4648"/>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Guided Support Back, sentence frames, Rehearsal Lab.</w:t>
            </w:r>
          </w:p>
        </w:tc>
      </w:tr>
      <w:tr>
        <w:tc>
          <w:tcPr>
            <w:tcW w:type="dxa" w:w="18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Tier 3 (Intensive)</w:t>
            </w:r>
          </w:p>
        </w:tc>
        <w:tc>
          <w:tcPr>
            <w:tcW w:type="dxa" w:w="32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Persistent barrier</w:t>
            </w:r>
          </w:p>
        </w:tc>
        <w:tc>
          <w:tcPr>
            <w:tcW w:type="dxa" w:w="4648"/>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Pair Guided Back with IEP/504 supports; reteach a step.</w:t>
            </w:r>
          </w:p>
        </w:tc>
      </w:tr>
    </w:tbl>
    <w:p>
      <w:pPr>
        <w:pStyle w:val="Heading1"/>
        <w:keepNext/>
        <w:spacing w:after="90" w:before="220"/>
      </w:pPr>
      <w:r>
        <w:rPr>
          <w:rFonts w:ascii="Calibri" w:cs="Calibri" w:eastAsia="Calibri" w:hAnsi="Calibri"/>
          <w:b/>
          <w:bCs/>
          <w:i w:val="false"/>
          <w:iCs w:val="false"/>
          <w:color w:val="1B2A4A"/>
          <w:sz w:val="36"/>
          <w:szCs w:val="36"/>
        </w:rPr>
        <w:t xml:space="preserve">4. The MTSS Decision Cycle</w:t>
      </w:r>
    </w:p>
    <w:p>
      <w:pPr>
        <w:spacing w:after="100"/>
      </w:pPr>
      <w:r>
        <w:rPr>
          <w:rFonts w:ascii="Calibri" w:cs="Calibri" w:eastAsia="Calibri" w:hAnsi="Calibri"/>
          <w:b/>
          <w:bCs/>
          <w:i w:val="false"/>
          <w:iCs w:val="false"/>
          <w:color w:val="1B2A4A"/>
          <w:sz w:val="24"/>
          <w:szCs w:val="24"/>
        </w:rPr>
        <w:t xml:space="preserve">PROGRESS CHECK → identify barrier → select support → reteach → recheck → extend</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60"/>
              <w:left w:type="dxa" w:w="110"/>
              <w:bottom w:type="dxa" w:w="60"/>
              <w:right w:type="dxa" w:w="110"/>
            </w:tcMar>
          </w:tcPr>
          <w:p>
            <w:pPr>
              <w:spacing w:after="60"/>
            </w:pPr>
            <w:r>
              <w:rPr>
                <w:rFonts w:ascii="Calibri" w:cs="Calibri" w:eastAsia="Calibri" w:hAnsi="Calibri"/>
                <w:b/>
                <w:bCs/>
                <w:i w:val="false"/>
                <w:iCs w:val="false"/>
                <w:color w:val="1B2A4A"/>
                <w:sz w:val="21"/>
                <w:szCs w:val="21"/>
              </w:rPr>
              <w:t xml:space="preserve">Scaffold fading</w:t>
            </w:r>
          </w:p>
          <w:p>
            <w:pPr>
              <w:spacing w:after="40"/>
            </w:pPr>
            <w:r>
              <w:rPr>
                <w:rFonts w:ascii="Calibri" w:cs="Calibri" w:eastAsia="Calibri" w:hAnsi="Calibri"/>
                <w:b w:val="false"/>
                <w:bCs w:val="false"/>
                <w:i w:val="false"/>
                <w:iCs w:val="false"/>
                <w:color w:val="1A1A1A"/>
                <w:sz w:val="22"/>
                <w:szCs w:val="22"/>
              </w:rPr>
              <w:t xml:space="preserve">Fade Guided → Light → independent as evidence grows; reintroduce support for a new barrier. Required IEP/504 accommodations do not fade unless the authorized team changes them.</w:t>
            </w:r>
          </w:p>
        </w:tc>
      </w:tr>
    </w:tbl>
    <w:p>
      <w:pPr>
        <w:pStyle w:val="Heading1"/>
        <w:keepNext/>
        <w:spacing w:after="90" w:before="220"/>
      </w:pPr>
      <w:r>
        <w:rPr>
          <w:rFonts w:ascii="Calibri" w:cs="Calibri" w:eastAsia="Calibri" w:hAnsi="Calibri"/>
          <w:b/>
          <w:bCs/>
          <w:i w:val="false"/>
          <w:iCs w:val="false"/>
          <w:color w:val="1B2A4A"/>
          <w:sz w:val="36"/>
          <w:szCs w:val="36"/>
        </w:rPr>
        <w:t xml:space="preserve">5. District Review Evidence Snapshot</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400"/>
        <w:gridCol w:w="6248"/>
      </w:tblGrid>
      <w:tr>
        <w:trPr>
          <w:tblHeader/>
        </w:trPr>
        <w:tc>
          <w:tcPr>
            <w:tcW w:type="dxa" w:w="3400"/>
            <w:tcBorders>
              <w:top w:val="single" w:color="D9D5C8" w:sz="4"/>
              <w:left w:val="single" w:color="D9D5C8" w:sz="4"/>
              <w:bottom w:val="single" w:color="D9D5C8" w:sz="4"/>
              <w:right w:val="single" w:color="D9D5C8" w:sz="4"/>
            </w:tcBorders>
            <w:shd w:fill="1B2A4A" w:color="auto" w:val="clear"/>
            <w:tcMar>
              <w:top w:type="dxa" w:w="60"/>
              <w:left w:type="dxa" w:w="110"/>
              <w:bottom w:type="dxa" w:w="60"/>
              <w:right w:type="dxa" w:w="110"/>
            </w:tcMar>
          </w:tcPr>
          <w:p>
            <w:pPr>
              <w:spacing w:after="0"/>
            </w:pPr>
            <w:r>
              <w:rPr>
                <w:rFonts w:ascii="Calibri" w:cs="Calibri" w:eastAsia="Calibri" w:hAnsi="Calibri"/>
                <w:b/>
                <w:bCs/>
                <w:i w:val="false"/>
                <w:iCs w:val="false"/>
                <w:color w:val="FFFFFF"/>
                <w:sz w:val="19"/>
                <w:szCs w:val="19"/>
              </w:rPr>
              <w:t xml:space="preserve">Criterion</w:t>
            </w:r>
          </w:p>
        </w:tc>
        <w:tc>
          <w:tcPr>
            <w:tcW w:type="dxa" w:w="6248"/>
            <w:tcBorders>
              <w:top w:val="single" w:color="D9D5C8" w:sz="4"/>
              <w:left w:val="single" w:color="D9D5C8" w:sz="4"/>
              <w:bottom w:val="single" w:color="D9D5C8" w:sz="4"/>
              <w:right w:val="single" w:color="D9D5C8" w:sz="4"/>
            </w:tcBorders>
            <w:shd w:fill="1B2A4A" w:color="auto" w:val="clear"/>
            <w:tcMar>
              <w:top w:type="dxa" w:w="60"/>
              <w:left w:type="dxa" w:w="110"/>
              <w:bottom w:type="dxa" w:w="60"/>
              <w:right w:type="dxa" w:w="110"/>
            </w:tcMar>
          </w:tcPr>
          <w:p>
            <w:pPr>
              <w:spacing w:after="0"/>
            </w:pPr>
            <w:r>
              <w:rPr>
                <w:rFonts w:ascii="Calibri" w:cs="Calibri" w:eastAsia="Calibri" w:hAnsi="Calibri"/>
                <w:b/>
                <w:bCs/>
                <w:i w:val="false"/>
                <w:iCs w:val="false"/>
                <w:color w:val="FFFFFF"/>
                <w:sz w:val="19"/>
                <w:szCs w:val="19"/>
              </w:rPr>
              <w:t xml:space="preserve">Where it shows</w:t>
            </w:r>
          </w:p>
        </w:tc>
      </w:tr>
      <w:tr>
        <w:tc>
          <w:tcPr>
            <w:tcW w:type="dxa" w:w="34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Standards alignment (US.28–38)</w:t>
            </w:r>
          </w:p>
        </w:tc>
        <w:tc>
          <w:tcPr>
            <w:tcW w:type="dxa" w:w="6248"/>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Standards &amp; SSP Crosswalk; per-standard blocks.</w:t>
            </w:r>
          </w:p>
        </w:tc>
      </w:tr>
      <w:tr>
        <w:tc>
          <w:tcPr>
            <w:tcW w:type="dxa" w:w="34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Public-domain sources, cited</w:t>
            </w:r>
          </w:p>
        </w:tc>
        <w:tc>
          <w:tcPr>
            <w:tcW w:type="dxa" w:w="6248"/>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Source Library; Activity 5 each standard.</w:t>
            </w:r>
          </w:p>
        </w:tc>
      </w:tr>
      <w:tr>
        <w:tc>
          <w:tcPr>
            <w:tcW w:type="dxa" w:w="34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UDL 3.0 visible</w:t>
            </w:r>
          </w:p>
        </w:tc>
        <w:tc>
          <w:tcPr>
            <w:tcW w:type="dxa" w:w="6248"/>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Accessibility matrix; callouts throughout.</w:t>
            </w:r>
          </w:p>
        </w:tc>
      </w:tr>
      <w:tr>
        <w:tc>
          <w:tcPr>
            <w:tcW w:type="dxa" w:w="34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MTSS</w:t>
            </w:r>
          </w:p>
        </w:tc>
        <w:tc>
          <w:tcPr>
            <w:tcW w:type="dxa" w:w="6248"/>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This guide §3–4; wrap-up decision band in the Teacher Deck.</w:t>
            </w:r>
          </w:p>
        </w:tc>
      </w:tr>
      <w:tr>
        <w:tc>
          <w:tcPr>
            <w:tcW w:type="dxa" w:w="34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Assessment integrity</w:t>
            </w:r>
          </w:p>
        </w:tc>
        <w:tc>
          <w:tcPr>
            <w:tcW w:type="dxa" w:w="6248"/>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Answer key here (separate); de-biased positions.</w:t>
            </w:r>
          </w:p>
        </w:tc>
      </w:tr>
    </w:tbl>
    <w:p>
      <w:pPr>
        <w:pStyle w:val="Heading1"/>
        <w:keepNext/>
        <w:spacing w:after="90" w:before="220"/>
      </w:pPr>
      <w:r>
        <w:rPr>
          <w:rFonts w:ascii="Calibri" w:cs="Calibri" w:eastAsia="Calibri" w:hAnsi="Calibri"/>
          <w:b/>
          <w:bCs/>
          <w:i w:val="false"/>
          <w:iCs w:val="false"/>
          <w:color w:val="1B2A4A"/>
          <w:sz w:val="36"/>
          <w:szCs w:val="36"/>
        </w:rPr>
        <w:t xml:space="preserve">6. Direct Teaching + Cornell Notes + Slide Deck Workflow</w:t>
      </w:r>
    </w:p>
    <w:p>
      <w:pPr>
        <w:spacing w:after="100"/>
      </w:pPr>
      <w:r>
        <w:rPr>
          <w:rFonts w:ascii="Calibri" w:cs="Calibri" w:eastAsia="Calibri" w:hAnsi="Calibri"/>
          <w:b w:val="false"/>
          <w:bCs w:val="false"/>
          <w:i w:val="false"/>
          <w:iCs w:val="false"/>
          <w:color w:val="1A1A1A"/>
          <w:sz w:val="22"/>
          <w:szCs w:val="22"/>
        </w:rPr>
        <w:t xml:space="preserve">Project the Student (Lean) Deck; students take Cornell Notes on the Universal Front. The Teacher (Full) Deck carries Quick Reviews, Guided Practice, Checks for Understanding, and Answer Reveals.</w:t>
      </w:r>
    </w:p>
    <w:p>
      <w:pPr>
        <w:pStyle w:val="Heading2"/>
        <w:keepNext/>
        <w:spacing w:after="90" w:before="150"/>
      </w:pPr>
      <w:r>
        <w:rPr>
          <w:rFonts w:ascii="Calibri" w:cs="Calibri" w:eastAsia="Calibri" w:hAnsi="Calibri"/>
          <w:b/>
          <w:bCs/>
          <w:i w:val="false"/>
          <w:iCs w:val="false"/>
          <w:color w:val="1B2A4A"/>
          <w:sz w:val="28"/>
          <w:szCs w:val="28"/>
        </w:rPr>
        <w:t xml:space="preserve">Verified Lean Student Deck ranges (from the final 64-slide deck)</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1400"/>
        <w:gridCol w:w="1900"/>
        <w:gridCol w:w="1900"/>
        <w:gridCol w:w="1449"/>
        <w:gridCol w:w="1500"/>
        <w:gridCol w:w="1499"/>
      </w:tblGrid>
      <w:tr>
        <w:trPr>
          <w:tblHeader/>
        </w:trPr>
        <w:tc>
          <w:tcPr>
            <w:tcW w:type="dxa" w:w="1400"/>
            <w:tcBorders>
              <w:top w:val="single" w:color="D9D5C8" w:sz="4"/>
              <w:left w:val="single" w:color="D9D5C8" w:sz="4"/>
              <w:bottom w:val="single" w:color="D9D5C8" w:sz="4"/>
              <w:right w:val="single" w:color="D9D5C8" w:sz="4"/>
            </w:tcBorders>
            <w:shd w:fill="1B2A4A" w:color="auto" w:val="clear"/>
            <w:tcMar>
              <w:top w:type="dxa" w:w="60"/>
              <w:left w:type="dxa" w:w="110"/>
              <w:bottom w:type="dxa" w:w="60"/>
              <w:right w:type="dxa" w:w="110"/>
            </w:tcMar>
          </w:tcPr>
          <w:p>
            <w:pPr>
              <w:spacing w:after="0"/>
            </w:pPr>
            <w:r>
              <w:rPr>
                <w:rFonts w:ascii="Calibri" w:cs="Calibri" w:eastAsia="Calibri" w:hAnsi="Calibri"/>
                <w:b/>
                <w:bCs/>
                <w:i w:val="false"/>
                <w:iCs w:val="false"/>
                <w:color w:val="FFFFFF"/>
                <w:sz w:val="19"/>
                <w:szCs w:val="19"/>
              </w:rPr>
              <w:t xml:space="preserve">Standard</w:t>
            </w:r>
          </w:p>
        </w:tc>
        <w:tc>
          <w:tcPr>
            <w:tcW w:type="dxa" w:w="1900"/>
            <w:tcBorders>
              <w:top w:val="single" w:color="D9D5C8" w:sz="4"/>
              <w:left w:val="single" w:color="D9D5C8" w:sz="4"/>
              <w:bottom w:val="single" w:color="D9D5C8" w:sz="4"/>
              <w:right w:val="single" w:color="D9D5C8" w:sz="4"/>
            </w:tcBorders>
            <w:shd w:fill="1B2A4A" w:color="auto" w:val="clear"/>
            <w:tcMar>
              <w:top w:type="dxa" w:w="60"/>
              <w:left w:type="dxa" w:w="110"/>
              <w:bottom w:type="dxa" w:w="60"/>
              <w:right w:type="dxa" w:w="110"/>
            </w:tcMar>
          </w:tcPr>
          <w:p>
            <w:pPr>
              <w:spacing w:after="0"/>
            </w:pPr>
            <w:r>
              <w:rPr>
                <w:rFonts w:ascii="Calibri" w:cs="Calibri" w:eastAsia="Calibri" w:hAnsi="Calibri"/>
                <w:b/>
                <w:bCs/>
                <w:i w:val="false"/>
                <w:iCs w:val="false"/>
                <w:color w:val="FFFFFF"/>
                <w:sz w:val="19"/>
                <w:szCs w:val="19"/>
              </w:rPr>
              <w:t xml:space="preserve">Lean Deck range</w:t>
            </w:r>
          </w:p>
        </w:tc>
        <w:tc>
          <w:tcPr>
            <w:tcW w:type="dxa" w:w="1900"/>
            <w:tcBorders>
              <w:top w:val="single" w:color="D9D5C8" w:sz="4"/>
              <w:left w:val="single" w:color="D9D5C8" w:sz="4"/>
              <w:bottom w:val="single" w:color="D9D5C8" w:sz="4"/>
              <w:right w:val="single" w:color="D9D5C8" w:sz="4"/>
            </w:tcBorders>
            <w:shd w:fill="1B2A4A" w:color="auto" w:val="clear"/>
            <w:tcMar>
              <w:top w:type="dxa" w:w="60"/>
              <w:left w:type="dxa" w:w="110"/>
              <w:bottom w:type="dxa" w:w="60"/>
              <w:right w:type="dxa" w:w="110"/>
            </w:tcMar>
          </w:tcPr>
          <w:p>
            <w:pPr>
              <w:spacing w:after="0"/>
            </w:pPr>
            <w:r>
              <w:rPr>
                <w:rFonts w:ascii="Calibri" w:cs="Calibri" w:eastAsia="Calibri" w:hAnsi="Calibri"/>
                <w:b/>
                <w:bCs/>
                <w:i w:val="false"/>
                <w:iCs w:val="false"/>
                <w:color w:val="FFFFFF"/>
                <w:sz w:val="19"/>
                <w:szCs w:val="19"/>
              </w:rPr>
              <w:t xml:space="preserve">Direct-teaching</w:t>
            </w:r>
          </w:p>
        </w:tc>
        <w:tc>
          <w:tcPr>
            <w:tcW w:type="dxa" w:w="1449"/>
            <w:tcBorders>
              <w:top w:val="single" w:color="D9D5C8" w:sz="4"/>
              <w:left w:val="single" w:color="D9D5C8" w:sz="4"/>
              <w:bottom w:val="single" w:color="D9D5C8" w:sz="4"/>
              <w:right w:val="single" w:color="D9D5C8" w:sz="4"/>
            </w:tcBorders>
            <w:shd w:fill="1B2A4A" w:color="auto" w:val="clear"/>
            <w:tcMar>
              <w:top w:type="dxa" w:w="60"/>
              <w:left w:type="dxa" w:w="110"/>
              <w:bottom w:type="dxa" w:w="60"/>
              <w:right w:type="dxa" w:w="110"/>
            </w:tcMar>
          </w:tcPr>
          <w:p>
            <w:pPr>
              <w:spacing w:after="0"/>
            </w:pPr>
            <w:r>
              <w:rPr>
                <w:rFonts w:ascii="Calibri" w:cs="Calibri" w:eastAsia="Calibri" w:hAnsi="Calibri"/>
                <w:b/>
                <w:bCs/>
                <w:i w:val="false"/>
                <w:iCs w:val="false"/>
                <w:color w:val="FFFFFF"/>
                <w:sz w:val="19"/>
                <w:szCs w:val="19"/>
              </w:rPr>
              <w:t xml:space="preserve">Vocab</w:t>
            </w:r>
          </w:p>
        </w:tc>
        <w:tc>
          <w:tcPr>
            <w:tcW w:type="dxa" w:w="1500"/>
            <w:tcBorders>
              <w:top w:val="single" w:color="D9D5C8" w:sz="4"/>
              <w:left w:val="single" w:color="D9D5C8" w:sz="4"/>
              <w:bottom w:val="single" w:color="D9D5C8" w:sz="4"/>
              <w:right w:val="single" w:color="D9D5C8" w:sz="4"/>
            </w:tcBorders>
            <w:shd w:fill="1B2A4A" w:color="auto" w:val="clear"/>
            <w:tcMar>
              <w:top w:type="dxa" w:w="60"/>
              <w:left w:type="dxa" w:w="110"/>
              <w:bottom w:type="dxa" w:w="60"/>
              <w:right w:type="dxa" w:w="110"/>
            </w:tcMar>
          </w:tcPr>
          <w:p>
            <w:pPr>
              <w:spacing w:after="0"/>
            </w:pPr>
            <w:r>
              <w:rPr>
                <w:rFonts w:ascii="Calibri" w:cs="Calibri" w:eastAsia="Calibri" w:hAnsi="Calibri"/>
                <w:b/>
                <w:bCs/>
                <w:i w:val="false"/>
                <w:iCs w:val="false"/>
                <w:color w:val="FFFFFF"/>
                <w:sz w:val="19"/>
                <w:szCs w:val="19"/>
              </w:rPr>
              <w:t xml:space="preserve">Primary source</w:t>
            </w:r>
          </w:p>
        </w:tc>
        <w:tc>
          <w:tcPr>
            <w:tcW w:type="dxa" w:w="1499"/>
            <w:tcBorders>
              <w:top w:val="single" w:color="D9D5C8" w:sz="4"/>
              <w:left w:val="single" w:color="D9D5C8" w:sz="4"/>
              <w:bottom w:val="single" w:color="D9D5C8" w:sz="4"/>
              <w:right w:val="single" w:color="D9D5C8" w:sz="4"/>
            </w:tcBorders>
            <w:shd w:fill="1B2A4A" w:color="auto" w:val="clear"/>
            <w:tcMar>
              <w:top w:type="dxa" w:w="60"/>
              <w:left w:type="dxa" w:w="110"/>
              <w:bottom w:type="dxa" w:w="60"/>
              <w:right w:type="dxa" w:w="110"/>
            </w:tcMar>
          </w:tcPr>
          <w:p>
            <w:pPr>
              <w:spacing w:after="0"/>
            </w:pPr>
            <w:r>
              <w:rPr>
                <w:rFonts w:ascii="Calibri" w:cs="Calibri" w:eastAsia="Calibri" w:hAnsi="Calibri"/>
                <w:b/>
                <w:bCs/>
                <w:i w:val="false"/>
                <w:iCs w:val="false"/>
                <w:color w:val="FFFFFF"/>
                <w:sz w:val="19"/>
                <w:szCs w:val="19"/>
              </w:rPr>
              <w:t xml:space="preserve">Progress Check</w:t>
            </w:r>
          </w:p>
        </w:tc>
      </w:tr>
      <w:tr>
        <w:tc>
          <w:tcPr>
            <w:tcW w:type="dxa" w:w="14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US.39</w:t>
            </w:r>
          </w:p>
        </w:tc>
        <w:tc>
          <w:tcPr>
            <w:tcW w:type="dxa" w:w="19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w:t>
            </w:r>
          </w:p>
        </w:tc>
        <w:tc>
          <w:tcPr>
            <w:tcW w:type="dxa" w:w="19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w:t>
            </w:r>
          </w:p>
        </w:tc>
        <w:tc>
          <w:tcPr>
            <w:tcW w:type="dxa" w:w="1449"/>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w:t>
            </w:r>
          </w:p>
        </w:tc>
        <w:tc>
          <w:tcPr>
            <w:tcW w:type="dxa" w:w="15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w:t>
            </w:r>
          </w:p>
        </w:tc>
        <w:tc>
          <w:tcPr>
            <w:tcW w:type="dxa" w:w="1499"/>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w:t>
            </w:r>
          </w:p>
        </w:tc>
      </w:tr>
      <w:tr>
        <w:tc>
          <w:tcPr>
            <w:tcW w:type="dxa" w:w="14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US.40</w:t>
            </w:r>
          </w:p>
        </w:tc>
        <w:tc>
          <w:tcPr>
            <w:tcW w:type="dxa" w:w="19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w:t>
            </w:r>
          </w:p>
        </w:tc>
        <w:tc>
          <w:tcPr>
            <w:tcW w:type="dxa" w:w="19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w:t>
            </w:r>
          </w:p>
        </w:tc>
        <w:tc>
          <w:tcPr>
            <w:tcW w:type="dxa" w:w="1449"/>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w:t>
            </w:r>
          </w:p>
        </w:tc>
        <w:tc>
          <w:tcPr>
            <w:tcW w:type="dxa" w:w="15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w:t>
            </w:r>
          </w:p>
        </w:tc>
        <w:tc>
          <w:tcPr>
            <w:tcW w:type="dxa" w:w="1499"/>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w:t>
            </w:r>
          </w:p>
        </w:tc>
      </w:tr>
      <w:tr>
        <w:tc>
          <w:tcPr>
            <w:tcW w:type="dxa" w:w="14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US.41</w:t>
            </w:r>
          </w:p>
        </w:tc>
        <w:tc>
          <w:tcPr>
            <w:tcW w:type="dxa" w:w="19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w:t>
            </w:r>
          </w:p>
        </w:tc>
        <w:tc>
          <w:tcPr>
            <w:tcW w:type="dxa" w:w="19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w:t>
            </w:r>
          </w:p>
        </w:tc>
        <w:tc>
          <w:tcPr>
            <w:tcW w:type="dxa" w:w="1449"/>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w:t>
            </w:r>
          </w:p>
        </w:tc>
        <w:tc>
          <w:tcPr>
            <w:tcW w:type="dxa" w:w="15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w:t>
            </w:r>
          </w:p>
        </w:tc>
        <w:tc>
          <w:tcPr>
            <w:tcW w:type="dxa" w:w="1499"/>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w:t>
            </w:r>
          </w:p>
        </w:tc>
      </w:tr>
      <w:tr>
        <w:tc>
          <w:tcPr>
            <w:tcW w:type="dxa" w:w="14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US.42</w:t>
            </w:r>
          </w:p>
        </w:tc>
        <w:tc>
          <w:tcPr>
            <w:tcW w:type="dxa" w:w="19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w:t>
            </w:r>
          </w:p>
        </w:tc>
        <w:tc>
          <w:tcPr>
            <w:tcW w:type="dxa" w:w="19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w:t>
            </w:r>
          </w:p>
        </w:tc>
        <w:tc>
          <w:tcPr>
            <w:tcW w:type="dxa" w:w="1449"/>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w:t>
            </w:r>
          </w:p>
        </w:tc>
        <w:tc>
          <w:tcPr>
            <w:tcW w:type="dxa" w:w="15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w:t>
            </w:r>
          </w:p>
        </w:tc>
        <w:tc>
          <w:tcPr>
            <w:tcW w:type="dxa" w:w="1499"/>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w:t>
            </w:r>
          </w:p>
        </w:tc>
      </w:tr>
      <w:tr>
        <w:tc>
          <w:tcPr>
            <w:tcW w:type="dxa" w:w="14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US.43</w:t>
            </w:r>
          </w:p>
        </w:tc>
        <w:tc>
          <w:tcPr>
            <w:tcW w:type="dxa" w:w="19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w:t>
            </w:r>
          </w:p>
        </w:tc>
        <w:tc>
          <w:tcPr>
            <w:tcW w:type="dxa" w:w="19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w:t>
            </w:r>
          </w:p>
        </w:tc>
        <w:tc>
          <w:tcPr>
            <w:tcW w:type="dxa" w:w="1449"/>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w:t>
            </w:r>
          </w:p>
        </w:tc>
        <w:tc>
          <w:tcPr>
            <w:tcW w:type="dxa" w:w="15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w:t>
            </w:r>
          </w:p>
        </w:tc>
        <w:tc>
          <w:tcPr>
            <w:tcW w:type="dxa" w:w="1499"/>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w:t>
            </w:r>
          </w:p>
        </w:tc>
      </w:tr>
      <w:tr>
        <w:tc>
          <w:tcPr>
            <w:tcW w:type="dxa" w:w="14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US.44</w:t>
            </w:r>
          </w:p>
        </w:tc>
        <w:tc>
          <w:tcPr>
            <w:tcW w:type="dxa" w:w="19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w:t>
            </w:r>
          </w:p>
        </w:tc>
        <w:tc>
          <w:tcPr>
            <w:tcW w:type="dxa" w:w="19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w:t>
            </w:r>
          </w:p>
        </w:tc>
        <w:tc>
          <w:tcPr>
            <w:tcW w:type="dxa" w:w="1449"/>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w:t>
            </w:r>
          </w:p>
        </w:tc>
        <w:tc>
          <w:tcPr>
            <w:tcW w:type="dxa" w:w="15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w:t>
            </w:r>
          </w:p>
        </w:tc>
        <w:tc>
          <w:tcPr>
            <w:tcW w:type="dxa" w:w="1499"/>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w:t>
            </w:r>
          </w:p>
        </w:tc>
      </w:tr>
    </w:tbl>
    <w:p>
      <w:pPr>
        <w:pStyle w:val="Heading1"/>
        <w:keepNext/>
        <w:spacing w:after="90" w:before="220"/>
      </w:pPr>
      <w:r>
        <w:rPr>
          <w:rFonts w:ascii="Calibri" w:cs="Calibri" w:eastAsia="Calibri" w:hAnsi="Calibri"/>
          <w:b/>
          <w:bCs/>
          <w:i w:val="false"/>
          <w:iCs w:val="false"/>
          <w:color w:val="1B2A4A"/>
          <w:sz w:val="36"/>
          <w:szCs w:val="36"/>
        </w:rPr>
        <w:t xml:space="preserve">7. What to Print and When</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200"/>
        <w:gridCol w:w="6448"/>
      </w:tblGrid>
      <w:tr>
        <w:trPr>
          <w:tblHeader/>
        </w:trPr>
        <w:tc>
          <w:tcPr>
            <w:tcW w:type="dxa" w:w="3200"/>
            <w:tcBorders>
              <w:top w:val="single" w:color="D9D5C8" w:sz="4"/>
              <w:left w:val="single" w:color="D9D5C8" w:sz="4"/>
              <w:bottom w:val="single" w:color="D9D5C8" w:sz="4"/>
              <w:right w:val="single" w:color="D9D5C8" w:sz="4"/>
            </w:tcBorders>
            <w:shd w:fill="1B2A4A" w:color="auto" w:val="clear"/>
            <w:tcMar>
              <w:top w:type="dxa" w:w="60"/>
              <w:left w:type="dxa" w:w="110"/>
              <w:bottom w:type="dxa" w:w="60"/>
              <w:right w:type="dxa" w:w="110"/>
            </w:tcMar>
          </w:tcPr>
          <w:p>
            <w:pPr>
              <w:spacing w:after="0"/>
            </w:pPr>
            <w:r>
              <w:rPr>
                <w:rFonts w:ascii="Calibri" w:cs="Calibri" w:eastAsia="Calibri" w:hAnsi="Calibri"/>
                <w:b/>
                <w:bCs/>
                <w:i w:val="false"/>
                <w:iCs w:val="false"/>
                <w:color w:val="FFFFFF"/>
                <w:sz w:val="19"/>
                <w:szCs w:val="19"/>
              </w:rPr>
              <w:t xml:space="preserve">Print</w:t>
            </w:r>
          </w:p>
        </w:tc>
        <w:tc>
          <w:tcPr>
            <w:tcW w:type="dxa" w:w="6448"/>
            <w:tcBorders>
              <w:top w:val="single" w:color="D9D5C8" w:sz="4"/>
              <w:left w:val="single" w:color="D9D5C8" w:sz="4"/>
              <w:bottom w:val="single" w:color="D9D5C8" w:sz="4"/>
              <w:right w:val="single" w:color="D9D5C8" w:sz="4"/>
            </w:tcBorders>
            <w:shd w:fill="1B2A4A" w:color="auto" w:val="clear"/>
            <w:tcMar>
              <w:top w:type="dxa" w:w="60"/>
              <w:left w:type="dxa" w:w="110"/>
              <w:bottom w:type="dxa" w:w="60"/>
              <w:right w:type="dxa" w:w="110"/>
            </w:tcMar>
          </w:tcPr>
          <w:p>
            <w:pPr>
              <w:spacing w:after="0"/>
            </w:pPr>
            <w:r>
              <w:rPr>
                <w:rFonts w:ascii="Calibri" w:cs="Calibri" w:eastAsia="Calibri" w:hAnsi="Calibri"/>
                <w:b/>
                <w:bCs/>
                <w:i w:val="false"/>
                <w:iCs w:val="false"/>
                <w:color w:val="FFFFFF"/>
                <w:sz w:val="19"/>
                <w:szCs w:val="19"/>
              </w:rPr>
              <w:t xml:space="preserve">When</w:t>
            </w:r>
          </w:p>
        </w:tc>
      </w:tr>
      <w:tr>
        <w:tc>
          <w:tcPr>
            <w:tcW w:type="dxa" w:w="32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Cornell Universal Front (per standard)</w:t>
            </w:r>
          </w:p>
        </w:tc>
        <w:tc>
          <w:tcPr>
            <w:tcW w:type="dxa" w:w="6448"/>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Day 1 of each standard.</w:t>
            </w:r>
          </w:p>
        </w:tc>
      </w:tr>
      <w:tr>
        <w:tc>
          <w:tcPr>
            <w:tcW w:type="dxa" w:w="32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Guided / Light Support Backs</w:t>
            </w:r>
          </w:p>
        </w:tc>
        <w:tc>
          <w:tcPr>
            <w:tcW w:type="dxa" w:w="6448"/>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On request only; reverse of the front.</w:t>
            </w:r>
          </w:p>
        </w:tc>
      </w:tr>
      <w:tr>
        <w:tc>
          <w:tcPr>
            <w:tcW w:type="dxa" w:w="32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Practice Quiz + CER</w:t>
            </w:r>
          </w:p>
        </w:tc>
        <w:tc>
          <w:tcPr>
            <w:tcW w:type="dxa" w:w="6448"/>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After direct teaching, before the standard assessment.</w:t>
            </w:r>
          </w:p>
        </w:tc>
      </w:tr>
      <w:tr>
        <w:tc>
          <w:tcPr>
            <w:tcW w:type="dxa" w:w="32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Source Library</w:t>
            </w:r>
          </w:p>
        </w:tc>
        <w:tc>
          <w:tcPr>
            <w:tcW w:type="dxa" w:w="6448"/>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Once per unit for reference.</w:t>
            </w:r>
          </w:p>
        </w:tc>
      </w:tr>
    </w:tbl>
    <w:p>
      <w:pPr>
        <w:pStyle w:val="Heading1"/>
        <w:keepNext/>
        <w:spacing w:after="90" w:before="220"/>
      </w:pPr>
      <w:r>
        <w:rPr>
          <w:rFonts w:ascii="Calibri" w:cs="Calibri" w:eastAsia="Calibri" w:hAnsi="Calibri"/>
          <w:b/>
          <w:bCs/>
          <w:i w:val="false"/>
          <w:iCs w:val="false"/>
          <w:color w:val="1B2A4A"/>
          <w:sz w:val="36"/>
          <w:szCs w:val="36"/>
        </w:rPr>
        <w:t xml:space="preserve">8. Per-Standard Lesson Sequence &amp; Pacing (one standard = one 45-minute period)</w:t>
      </w:r>
    </w:p>
    <w:p>
      <w:pPr>
        <w:spacing w:after="100"/>
      </w:pPr>
      <w:r>
        <w:rPr>
          <w:rFonts w:ascii="Calibri" w:cs="Calibri" w:eastAsia="Calibri" w:hAnsi="Calibri"/>
          <w:b w:val="false"/>
          <w:bCs w:val="false"/>
          <w:i w:val="false"/>
          <w:iCs w:val="false"/>
          <w:color w:val="1A1A1A"/>
          <w:sz w:val="22"/>
          <w:szCs w:val="22"/>
        </w:rPr>
        <w:t xml:space="preserve">Each standard is taught in a single 45-minute period, but the workbook intentionally holds more activity than one period can fit — run them all and it is roughly 90–105 minutes. That is by design: you choose which activities fill your period, and the rest become bell-ringers, stations, homework, reteach, or extension. The estimates below are honest time-on-task for an average class; adjust for yours. Every workbook activity header shows the same ⏱ estimate so students can self-pace.</w:t>
      </w:r>
    </w:p>
    <w:p>
      <w:pPr>
        <w:pStyle w:val="Heading2"/>
        <w:keepNext/>
        <w:spacing w:after="90" w:before="150"/>
      </w:pPr>
      <w:r>
        <w:rPr>
          <w:rFonts w:ascii="Calibri" w:cs="Calibri" w:eastAsia="Calibri" w:hAnsi="Calibri"/>
          <w:b/>
          <w:bCs/>
          <w:i w:val="false"/>
          <w:iCs w:val="false"/>
          <w:color w:val="1B2A4A"/>
          <w:sz w:val="28"/>
          <w:szCs w:val="28"/>
        </w:rPr>
        <w:t xml:space="preserve">Honest activity time estimates (pick what fills your 45 minutes)</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300"/>
        <w:gridCol w:w="900"/>
        <w:gridCol w:w="5448"/>
      </w:tblGrid>
      <w:tr>
        <w:trPr>
          <w:tblHeader/>
        </w:trPr>
        <w:tc>
          <w:tcPr>
            <w:tcW w:type="dxa" w:w="3300"/>
            <w:tcBorders>
              <w:top w:val="single" w:color="D9D5C8" w:sz="4"/>
              <w:left w:val="single" w:color="D9D5C8" w:sz="4"/>
              <w:bottom w:val="single" w:color="D9D5C8" w:sz="4"/>
              <w:right w:val="single" w:color="D9D5C8" w:sz="4"/>
            </w:tcBorders>
            <w:shd w:fill="1B2A4A" w:color="auto" w:val="clear"/>
            <w:tcMar>
              <w:top w:type="dxa" w:w="60"/>
              <w:left w:type="dxa" w:w="110"/>
              <w:bottom w:type="dxa" w:w="60"/>
              <w:right w:type="dxa" w:w="110"/>
            </w:tcMar>
          </w:tcPr>
          <w:p>
            <w:pPr>
              <w:spacing w:after="0"/>
            </w:pPr>
            <w:r>
              <w:rPr>
                <w:rFonts w:ascii="Calibri" w:cs="Calibri" w:eastAsia="Calibri" w:hAnsi="Calibri"/>
                <w:b/>
                <w:bCs/>
                <w:i w:val="false"/>
                <w:iCs w:val="false"/>
                <w:color w:val="FFFFFF"/>
                <w:sz w:val="19"/>
                <w:szCs w:val="19"/>
              </w:rPr>
              <w:t xml:space="preserve">Activity</w:t>
            </w:r>
          </w:p>
        </w:tc>
        <w:tc>
          <w:tcPr>
            <w:tcW w:type="dxa" w:w="900"/>
            <w:tcBorders>
              <w:top w:val="single" w:color="D9D5C8" w:sz="4"/>
              <w:left w:val="single" w:color="D9D5C8" w:sz="4"/>
              <w:bottom w:val="single" w:color="D9D5C8" w:sz="4"/>
              <w:right w:val="single" w:color="D9D5C8" w:sz="4"/>
            </w:tcBorders>
            <w:shd w:fill="1B2A4A" w:color="auto" w:val="clear"/>
            <w:tcMar>
              <w:top w:type="dxa" w:w="60"/>
              <w:left w:type="dxa" w:w="110"/>
              <w:bottom w:type="dxa" w:w="60"/>
              <w:right w:type="dxa" w:w="110"/>
            </w:tcMar>
          </w:tcPr>
          <w:p>
            <w:pPr>
              <w:spacing w:after="0"/>
            </w:pPr>
            <w:r>
              <w:rPr>
                <w:rFonts w:ascii="Calibri" w:cs="Calibri" w:eastAsia="Calibri" w:hAnsi="Calibri"/>
                <w:b/>
                <w:bCs/>
                <w:i w:val="false"/>
                <w:iCs w:val="false"/>
                <w:color w:val="FFFFFF"/>
                <w:sz w:val="19"/>
                <w:szCs w:val="19"/>
              </w:rPr>
              <w:t xml:space="preserve">~Time</w:t>
            </w:r>
          </w:p>
        </w:tc>
        <w:tc>
          <w:tcPr>
            <w:tcW w:type="dxa" w:w="5448"/>
            <w:tcBorders>
              <w:top w:val="single" w:color="D9D5C8" w:sz="4"/>
              <w:left w:val="single" w:color="D9D5C8" w:sz="4"/>
              <w:bottom w:val="single" w:color="D9D5C8" w:sz="4"/>
              <w:right w:val="single" w:color="D9D5C8" w:sz="4"/>
            </w:tcBorders>
            <w:shd w:fill="1B2A4A" w:color="auto" w:val="clear"/>
            <w:tcMar>
              <w:top w:type="dxa" w:w="60"/>
              <w:left w:type="dxa" w:w="110"/>
              <w:bottom w:type="dxa" w:w="60"/>
              <w:right w:type="dxa" w:w="110"/>
            </w:tcMar>
          </w:tcPr>
          <w:p>
            <w:pPr>
              <w:spacing w:after="0"/>
            </w:pPr>
            <w:r>
              <w:rPr>
                <w:rFonts w:ascii="Calibri" w:cs="Calibri" w:eastAsia="Calibri" w:hAnsi="Calibri"/>
                <w:b/>
                <w:bCs/>
                <w:i w:val="false"/>
                <w:iCs w:val="false"/>
                <w:color w:val="FFFFFF"/>
                <w:sz w:val="19"/>
                <w:szCs w:val="19"/>
              </w:rPr>
              <w:t xml:space="preserve">Note</w:t>
            </w:r>
          </w:p>
        </w:tc>
      </w:tr>
      <w:tr>
        <w:tc>
          <w:tcPr>
            <w:tcW w:type="dxa" w:w="33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Standard launch (hook · goal · activate · predict)</w:t>
            </w:r>
          </w:p>
        </w:tc>
        <w:tc>
          <w:tcPr>
            <w:tcW w:type="dxa" w:w="9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5 min</w:t>
            </w:r>
          </w:p>
        </w:tc>
        <w:tc>
          <w:tcPr>
            <w:tcW w:type="dxa" w:w="5448"/>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Frames the learning target and the day.</w:t>
            </w:r>
          </w:p>
        </w:tc>
      </w:tr>
      <w:tr>
        <w:tc>
          <w:tcPr>
            <w:tcW w:type="dxa" w:w="33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Activity 1 — Vocabulary Word Bank</w:t>
            </w:r>
          </w:p>
        </w:tc>
        <w:tc>
          <w:tcPr>
            <w:tcW w:type="dxa" w:w="9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10 min</w:t>
            </w:r>
          </w:p>
        </w:tc>
        <w:tc>
          <w:tcPr>
            <w:tcW w:type="dxa" w:w="5448"/>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Reference + self-check + quick-write.</w:t>
            </w:r>
          </w:p>
        </w:tc>
      </w:tr>
      <w:tr>
        <w:tc>
          <w:tcPr>
            <w:tcW w:type="dxa" w:w="33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Activity 2 — Vocabulary Studio (Frayer)</w:t>
            </w:r>
          </w:p>
        </w:tc>
        <w:tc>
          <w:tcPr>
            <w:tcW w:type="dxa" w:w="9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7 min</w:t>
            </w:r>
          </w:p>
        </w:tc>
        <w:tc>
          <w:tcPr>
            <w:tcW w:type="dxa" w:w="5448"/>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One priority term, four quadrants.</w:t>
            </w:r>
          </w:p>
        </w:tc>
      </w:tr>
      <w:tr>
        <w:tc>
          <w:tcPr>
            <w:tcW w:type="dxa" w:w="33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Activity 3 — Cornell Notes (with slide deck)</w:t>
            </w:r>
          </w:p>
        </w:tc>
        <w:tc>
          <w:tcPr>
            <w:tcW w:type="dxa" w:w="9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20 min</w:t>
            </w:r>
          </w:p>
        </w:tc>
        <w:tc>
          <w:tcPr>
            <w:tcW w:type="dxa" w:w="5448"/>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Direct-teaching capture — front + processing back.</w:t>
            </w:r>
          </w:p>
        </w:tc>
      </w:tr>
      <w:tr>
        <w:tc>
          <w:tcPr>
            <w:tcW w:type="dxa" w:w="33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Activity 4 — Close Read</w:t>
            </w:r>
          </w:p>
        </w:tc>
        <w:tc>
          <w:tcPr>
            <w:tcW w:type="dxa" w:w="9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15 min</w:t>
            </w:r>
          </w:p>
        </w:tc>
        <w:tc>
          <w:tcPr>
            <w:tcW w:type="dxa" w:w="5448"/>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Passage, annotation, text-dependent questions.</w:t>
            </w:r>
          </w:p>
        </w:tc>
      </w:tr>
      <w:tr>
        <w:tc>
          <w:tcPr>
            <w:tcW w:type="dxa" w:w="33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Geographer’s Lens (G-tagged standards, as applicable)</w:t>
            </w:r>
          </w:p>
        </w:tc>
        <w:tc>
          <w:tcPr>
            <w:tcW w:type="dxa" w:w="9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10 min</w:t>
            </w:r>
          </w:p>
        </w:tc>
        <w:tc>
          <w:tcPr>
            <w:tcW w:type="dxa" w:w="5448"/>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Analyze the period map + mark-up.</w:t>
            </w:r>
          </w:p>
        </w:tc>
      </w:tr>
      <w:tr>
        <w:tc>
          <w:tcPr>
            <w:tcW w:type="dxa" w:w="33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Activity 5 — Primary Source / Data (HIPPO)</w:t>
            </w:r>
          </w:p>
        </w:tc>
        <w:tc>
          <w:tcPr>
            <w:tcW w:type="dxa" w:w="9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15 min</w:t>
            </w:r>
          </w:p>
        </w:tc>
        <w:tc>
          <w:tcPr>
            <w:tcW w:type="dxa" w:w="5448"/>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Source + five HIPPO prompts + response.</w:t>
            </w:r>
          </w:p>
        </w:tc>
      </w:tr>
      <w:tr>
        <w:tc>
          <w:tcPr>
            <w:tcW w:type="dxa" w:w="33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Activity 6 — Practice Quiz</w:t>
            </w:r>
          </w:p>
        </w:tc>
        <w:tc>
          <w:tcPr>
            <w:tcW w:type="dxa" w:w="9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8 min</w:t>
            </w:r>
          </w:p>
        </w:tc>
        <w:tc>
          <w:tcPr>
            <w:tcW w:type="dxa" w:w="5448"/>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A few items + one short DOK-3 write.</w:t>
            </w:r>
          </w:p>
        </w:tc>
      </w:tr>
      <w:tr>
        <w:tc>
          <w:tcPr>
            <w:tcW w:type="dxa" w:w="33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Activity 7 — CER + Exit Ticket</w:t>
            </w:r>
          </w:p>
        </w:tc>
        <w:tc>
          <w:tcPr>
            <w:tcW w:type="dxa" w:w="9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15 min</w:t>
            </w:r>
          </w:p>
        </w:tc>
        <w:tc>
          <w:tcPr>
            <w:tcW w:type="dxa" w:w="5448"/>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CER organizer + paragraph (~12) and Exit Ticket (~3).</w:t>
            </w:r>
          </w:p>
        </w:tc>
      </w:tr>
    </w:tbl>
    <w:p>
      <w:pPr>
        <w:spacing w:after="100"/>
      </w:pPr>
      <w:r>
        <w:rPr>
          <w:rFonts w:ascii="Calibri" w:cs="Calibri" w:eastAsia="Calibri" w:hAnsi="Calibri"/>
          <w:b w:val="false"/>
          <w:bCs w:val="false"/>
          <w:i w:val="false"/>
          <w:iCs w:val="false"/>
          <w:color w:val="1A1A1A"/>
          <w:sz w:val="22"/>
          <w:szCs w:val="22"/>
        </w:rPr>
        <w:t xml:space="preserve">Run every activity and a standard totals ≈ 105 minutes (≈ 95 without a map) — about two periods of work compressed into a one-period design. So it is a menu, not a checklist.</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60"/>
              <w:left w:type="dxa" w:w="110"/>
              <w:bottom w:type="dxa" w:w="60"/>
              <w:right w:type="dxa" w:w="110"/>
            </w:tcMar>
          </w:tcPr>
          <w:p>
            <w:pPr>
              <w:spacing w:after="60"/>
            </w:pPr>
            <w:r>
              <w:rPr>
                <w:rFonts w:ascii="Calibri" w:cs="Calibri" w:eastAsia="Calibri" w:hAnsi="Calibri"/>
                <w:b/>
                <w:bCs/>
                <w:i w:val="false"/>
                <w:iCs w:val="false"/>
                <w:color w:val="1B2A4A"/>
                <w:sz w:val="21"/>
                <w:szCs w:val="21"/>
              </w:rPr>
              <w:t xml:space="preserve">How to fill the period — your call</w:t>
            </w:r>
          </w:p>
          <w:p>
            <w:pPr>
              <w:spacing w:after="40"/>
            </w:pPr>
            <w:r>
              <w:rPr>
                <w:rFonts w:ascii="Calibri" w:cs="Calibri" w:eastAsia="Calibri" w:hAnsi="Calibri"/>
                <w:b w:val="false"/>
                <w:bCs w:val="false"/>
                <w:i w:val="false"/>
                <w:iCs w:val="false"/>
                <w:color w:val="1A1A1A"/>
                <w:sz w:val="22"/>
                <w:szCs w:val="22"/>
              </w:rPr>
              <w:t xml:space="preserve">You decide which activities run in class. A common choice is Launch → Cornell Notes with the deck → one analysis activity (Close Read or Primary Source) → the Exit Ticket, but nothing forces that set — pick what your class needs that day.</w:t>
            </w:r>
          </w:p>
          <w:p>
            <w:pPr>
              <w:spacing w:after="40"/>
            </w:pPr>
            <w:r>
              <w:rPr>
                <w:rFonts w:ascii="Calibri" w:cs="Calibri" w:eastAsia="Calibri" w:hAnsi="Calibri"/>
                <w:b w:val="false"/>
                <w:bCs w:val="false"/>
                <w:i w:val="false"/>
                <w:iCs w:val="false"/>
                <w:color w:val="1A1A1A"/>
                <w:sz w:val="22"/>
                <w:szCs w:val="22"/>
              </w:rPr>
              <w:t xml:space="preserve">The Exit Ticket is the daily formative check; try to close every period with it (see §16 for the keys and reteach routing).</w:t>
            </w:r>
          </w:p>
          <w:p>
            <w:pPr>
              <w:spacing w:after="40"/>
            </w:pPr>
            <w:r>
              <w:rPr>
                <w:rFonts w:ascii="Calibri" w:cs="Calibri" w:eastAsia="Calibri" w:hAnsi="Calibri"/>
                <w:b w:val="false"/>
                <w:bCs w:val="false"/>
                <w:i w:val="false"/>
                <w:iCs w:val="false"/>
                <w:color w:val="1A1A1A"/>
                <w:sz w:val="22"/>
                <w:szCs w:val="22"/>
              </w:rPr>
              <w:t xml:space="preserve">Whatever you do not run in class becomes a bell-ringer, station, early-finisher task, homework, reteach, or extension. Rigor stays the same for every learner; UDL/MTSS supports layer on without lowering the bar.</w:t>
            </w:r>
          </w:p>
        </w:tc>
      </w:tr>
    </w:tbl>
    <w:p>
      <w:r>
        <w:br w:type="page"/>
      </w:r>
    </w:p>
    <w:p>
      <w:pPr>
        <w:pStyle w:val="Heading1"/>
        <w:keepNext/>
        <w:spacing w:after="90" w:before="220"/>
      </w:pPr>
      <w:r>
        <w:rPr>
          <w:rFonts w:ascii="Calibri" w:cs="Calibri" w:eastAsia="Calibri" w:hAnsi="Calibri"/>
          <w:b/>
          <w:bCs/>
          <w:i w:val="false"/>
          <w:iCs w:val="false"/>
          <w:color w:val="1B2A4A"/>
          <w:sz w:val="36"/>
          <w:szCs w:val="36"/>
        </w:rPr>
        <w:t xml:space="preserve">9. Assessment Source &amp; Item Metadata</w:t>
      </w:r>
    </w:p>
    <w:p>
      <w:pPr>
        <w:spacing w:after="100"/>
      </w:pPr>
      <w:r>
        <w:rPr>
          <w:rFonts w:ascii="Calibri" w:cs="Calibri" w:eastAsia="Calibri" w:hAnsi="Calibri"/>
          <w:b w:val="false"/>
          <w:bCs w:val="false"/>
          <w:i w:val="false"/>
          <w:iCs w:val="false"/>
          <w:color w:val="1A1A1A"/>
          <w:sz w:val="22"/>
          <w:szCs w:val="22"/>
        </w:rPr>
        <w:t xml:space="preserve">Each standard’s Progress Check / Transfer Check is a Teacher-Deck Check for Understanding (DOK 2–3). The additional Practice-Quiz DOK-1 items are History Hack-authored recall items. All items are pre-field-test (classroom-formative), not a secure TCAP form. Correct-answer positions are de-biased and identical across Student Progress Check, Teacher CFU/Reveal, and the workbook Transfer Check.</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60"/>
              <w:left w:type="dxa" w:w="110"/>
              <w:bottom w:type="dxa" w:w="60"/>
              <w:right w:type="dxa" w:w="110"/>
            </w:tcMar>
          </w:tcPr>
          <w:p>
            <w:pPr>
              <w:spacing w:after="60"/>
            </w:pPr>
            <w:r>
              <w:rPr>
                <w:rFonts w:ascii="Calibri" w:cs="Calibri" w:eastAsia="Calibri" w:hAnsi="Calibri"/>
                <w:b/>
                <w:bCs/>
                <w:i w:val="false"/>
                <w:iCs w:val="false"/>
                <w:color w:val="1B2A4A"/>
                <w:sz w:val="21"/>
                <w:szCs w:val="21"/>
              </w:rPr>
              <w:t xml:space="preserve">De-biased key distribution (Transfer Checks, US.39–US.44)</w:t>
            </w:r>
          </w:p>
          <w:p>
            <w:pPr>
              <w:spacing w:after="40"/>
            </w:pPr>
            <w:r>
              <w:rPr>
                <w:rFonts w:ascii="Calibri" w:cs="Calibri" w:eastAsia="Calibri" w:hAnsi="Calibri"/>
                <w:b w:val="false"/>
                <w:bCs w:val="false"/>
                <w:i w:val="false"/>
                <w:iCs w:val="false"/>
                <w:color w:val="1A1A1A"/>
                <w:sz w:val="22"/>
                <w:szCs w:val="22"/>
              </w:rPr>
              <w:t xml:space="preserve">A · B · C · D · A · B · C · D · A · B · C</w:t>
            </w:r>
          </w:p>
        </w:tc>
      </w:tr>
    </w:tbl>
    <w:p>
      <w:pPr>
        <w:pStyle w:val="Heading1"/>
        <w:keepNext/>
        <w:spacing w:after="90" w:before="220"/>
      </w:pPr>
      <w:r>
        <w:rPr>
          <w:rFonts w:ascii="Calibri" w:cs="Calibri" w:eastAsia="Calibri" w:hAnsi="Calibri"/>
          <w:b/>
          <w:bCs/>
          <w:i w:val="false"/>
          <w:iCs w:val="false"/>
          <w:color w:val="1B2A4A"/>
          <w:sz w:val="36"/>
          <w:szCs w:val="36"/>
        </w:rPr>
        <w:t xml:space="preserve">10. Practice Quiz — Answer Key &amp; Rationales</w:t>
      </w:r>
    </w:p>
    <w:p>
      <w:pPr>
        <w:spacing w:after="100"/>
      </w:pPr>
      <w:r>
        <w:rPr>
          <w:rFonts w:ascii="Calibri" w:cs="Calibri" w:eastAsia="Calibri" w:hAnsi="Calibri"/>
          <w:b w:val="false"/>
          <w:bCs w:val="false"/>
          <w:i/>
          <w:iCs/>
          <w:color w:val="6B7280"/>
          <w:sz w:val="20"/>
          <w:szCs w:val="20"/>
        </w:rPr>
        <w:t xml:space="preserve">For teacher use only — keep separate from student copies.</w:t>
      </w:r>
    </w:p>
    <w:p>
      <w:pPr>
        <w:pStyle w:val="Heading3"/>
        <w:keepNext/>
        <w:spacing w:after="90" w:before="150"/>
      </w:pPr>
      <w:r>
        <w:rPr>
          <w:rFonts w:ascii="Calibri" w:cs="Calibri" w:eastAsia="Calibri" w:hAnsi="Calibri"/>
          <w:b/>
          <w:bCs/>
          <w:i w:val="false"/>
          <w:iCs w:val="false"/>
          <w:color w:val="B22234"/>
          <w:sz w:val="24"/>
          <w:szCs w:val="24"/>
        </w:rPr>
        <w:t xml:space="preserve">US.39 — Causes of the Great Depression</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600"/>
        <w:gridCol w:w="900"/>
        <w:gridCol w:w="900"/>
        <w:gridCol w:w="5248"/>
      </w:tblGrid>
      <w:tr>
        <w:trPr>
          <w:tblHeader/>
        </w:trPr>
        <w:tc>
          <w:tcPr>
            <w:tcW w:type="dxa" w:w="2600"/>
            <w:tcBorders>
              <w:top w:val="single" w:color="D9D5C8" w:sz="4"/>
              <w:left w:val="single" w:color="D9D5C8" w:sz="4"/>
              <w:bottom w:val="single" w:color="D9D5C8" w:sz="4"/>
              <w:right w:val="single" w:color="D9D5C8" w:sz="4"/>
            </w:tcBorders>
            <w:shd w:fill="1B2A4A" w:color="auto" w:val="clear"/>
            <w:tcMar>
              <w:top w:type="dxa" w:w="60"/>
              <w:left w:type="dxa" w:w="110"/>
              <w:bottom w:type="dxa" w:w="60"/>
              <w:right w:type="dxa" w:w="110"/>
            </w:tcMar>
          </w:tcPr>
          <w:p>
            <w:pPr>
              <w:spacing w:after="0"/>
            </w:pPr>
            <w:r>
              <w:rPr>
                <w:rFonts w:ascii="Calibri" w:cs="Calibri" w:eastAsia="Calibri" w:hAnsi="Calibri"/>
                <w:b/>
                <w:bCs/>
                <w:i w:val="false"/>
                <w:iCs w:val="false"/>
                <w:color w:val="FFFFFF"/>
                <w:sz w:val="19"/>
                <w:szCs w:val="19"/>
              </w:rPr>
              <w:t xml:space="preserve">Item</w:t>
            </w:r>
          </w:p>
        </w:tc>
        <w:tc>
          <w:tcPr>
            <w:tcW w:type="dxa" w:w="900"/>
            <w:tcBorders>
              <w:top w:val="single" w:color="D9D5C8" w:sz="4"/>
              <w:left w:val="single" w:color="D9D5C8" w:sz="4"/>
              <w:bottom w:val="single" w:color="D9D5C8" w:sz="4"/>
              <w:right w:val="single" w:color="D9D5C8" w:sz="4"/>
            </w:tcBorders>
            <w:shd w:fill="1B2A4A" w:color="auto" w:val="clear"/>
            <w:tcMar>
              <w:top w:type="dxa" w:w="60"/>
              <w:left w:type="dxa" w:w="110"/>
              <w:bottom w:type="dxa" w:w="60"/>
              <w:right w:type="dxa" w:w="110"/>
            </w:tcMar>
          </w:tcPr>
          <w:p>
            <w:pPr>
              <w:spacing w:after="0"/>
            </w:pPr>
            <w:r>
              <w:rPr>
                <w:rFonts w:ascii="Calibri" w:cs="Calibri" w:eastAsia="Calibri" w:hAnsi="Calibri"/>
                <w:b/>
                <w:bCs/>
                <w:i w:val="false"/>
                <w:iCs w:val="false"/>
                <w:color w:val="FFFFFF"/>
                <w:sz w:val="19"/>
                <w:szCs w:val="19"/>
              </w:rPr>
              <w:t xml:space="preserve">DOK</w:t>
            </w:r>
          </w:p>
        </w:tc>
        <w:tc>
          <w:tcPr>
            <w:tcW w:type="dxa" w:w="900"/>
            <w:tcBorders>
              <w:top w:val="single" w:color="D9D5C8" w:sz="4"/>
              <w:left w:val="single" w:color="D9D5C8" w:sz="4"/>
              <w:bottom w:val="single" w:color="D9D5C8" w:sz="4"/>
              <w:right w:val="single" w:color="D9D5C8" w:sz="4"/>
            </w:tcBorders>
            <w:shd w:fill="1B2A4A" w:color="auto" w:val="clear"/>
            <w:tcMar>
              <w:top w:type="dxa" w:w="60"/>
              <w:left w:type="dxa" w:w="110"/>
              <w:bottom w:type="dxa" w:w="60"/>
              <w:right w:type="dxa" w:w="110"/>
            </w:tcMar>
          </w:tcPr>
          <w:p>
            <w:pPr>
              <w:spacing w:after="0"/>
            </w:pPr>
            <w:r>
              <w:rPr>
                <w:rFonts w:ascii="Calibri" w:cs="Calibri" w:eastAsia="Calibri" w:hAnsi="Calibri"/>
                <w:b/>
                <w:bCs/>
                <w:i w:val="false"/>
                <w:iCs w:val="false"/>
                <w:color w:val="FFFFFF"/>
                <w:sz w:val="19"/>
                <w:szCs w:val="19"/>
              </w:rPr>
              <w:t xml:space="preserve">Key</w:t>
            </w:r>
          </w:p>
        </w:tc>
        <w:tc>
          <w:tcPr>
            <w:tcW w:type="dxa" w:w="5248"/>
            <w:tcBorders>
              <w:top w:val="single" w:color="D9D5C8" w:sz="4"/>
              <w:left w:val="single" w:color="D9D5C8" w:sz="4"/>
              <w:bottom w:val="single" w:color="D9D5C8" w:sz="4"/>
              <w:right w:val="single" w:color="D9D5C8" w:sz="4"/>
            </w:tcBorders>
            <w:shd w:fill="1B2A4A" w:color="auto" w:val="clear"/>
            <w:tcMar>
              <w:top w:type="dxa" w:w="60"/>
              <w:left w:type="dxa" w:w="110"/>
              <w:bottom w:type="dxa" w:w="60"/>
              <w:right w:type="dxa" w:w="110"/>
            </w:tcMar>
          </w:tcPr>
          <w:p>
            <w:pPr>
              <w:spacing w:after="0"/>
            </w:pPr>
            <w:r>
              <w:rPr>
                <w:rFonts w:ascii="Calibri" w:cs="Calibri" w:eastAsia="Calibri" w:hAnsi="Calibri"/>
                <w:b/>
                <w:bCs/>
                <w:i w:val="false"/>
                <w:iCs w:val="false"/>
                <w:color w:val="FFFFFF"/>
                <w:sz w:val="19"/>
                <w:szCs w:val="19"/>
              </w:rPr>
              <w:t xml:space="preserve">Rationale</w:t>
            </w:r>
          </w:p>
        </w:tc>
      </w:tr>
      <w:tr>
        <w:tc>
          <w:tcPr>
            <w:tcW w:type="dxa" w:w="26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us39-q3</w:t>
            </w:r>
          </w:p>
        </w:tc>
        <w:tc>
          <w:tcPr>
            <w:tcW w:type="dxa" w:w="9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2</w:t>
            </w:r>
          </w:p>
        </w:tc>
        <w:tc>
          <w:tcPr>
            <w:tcW w:type="dxa" w:w="9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A</w:t>
            </w:r>
          </w:p>
        </w:tc>
        <w:tc>
          <w:tcPr>
            <w:tcW w:type="dxa" w:w="5248"/>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Recall of the standard’s core term/fact.</w:t>
            </w:r>
          </w:p>
        </w:tc>
      </w:tr>
      <w:tr>
        <w:tc>
          <w:tcPr>
            <w:tcW w:type="dxa" w:w="26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u1-us39-dok3-tc</w:t>
            </w:r>
          </w:p>
        </w:tc>
        <w:tc>
          <w:tcPr>
            <w:tcW w:type="dxa" w:w="9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3</w:t>
            </w:r>
          </w:p>
        </w:tc>
        <w:tc>
          <w:tcPr>
            <w:tcW w:type="dxa" w:w="9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A</w:t>
            </w:r>
          </w:p>
        </w:tc>
        <w:tc>
          <w:tcPr>
            <w:tcW w:type="dxa" w:w="5248"/>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Bank failures created a destructive cycle: each failure destroyed depositor savings, eliminated lending capacity, reduced consumer confidence, and triggered more bank runs, ultimately contracting the money supply and freezing credit throughout the economy.</w:t>
            </w:r>
          </w:p>
        </w:tc>
      </w:tr>
    </w:tbl>
    <w:p>
      <w:pPr>
        <w:pStyle w:val="Heading3"/>
        <w:keepNext/>
        <w:spacing w:after="90" w:before="150"/>
      </w:pPr>
      <w:r>
        <w:rPr>
          <w:rFonts w:ascii="Calibri" w:cs="Calibri" w:eastAsia="Calibri" w:hAnsi="Calibri"/>
          <w:b/>
          <w:bCs/>
          <w:i w:val="false"/>
          <w:iCs w:val="false"/>
          <w:color w:val="B22234"/>
          <w:sz w:val="24"/>
          <w:szCs w:val="24"/>
        </w:rPr>
        <w:t xml:space="preserve">US.40 — The Dust Bowl</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600"/>
        <w:gridCol w:w="900"/>
        <w:gridCol w:w="900"/>
        <w:gridCol w:w="5248"/>
      </w:tblGrid>
      <w:tr>
        <w:trPr>
          <w:tblHeader/>
        </w:trPr>
        <w:tc>
          <w:tcPr>
            <w:tcW w:type="dxa" w:w="2600"/>
            <w:tcBorders>
              <w:top w:val="single" w:color="D9D5C8" w:sz="4"/>
              <w:left w:val="single" w:color="D9D5C8" w:sz="4"/>
              <w:bottom w:val="single" w:color="D9D5C8" w:sz="4"/>
              <w:right w:val="single" w:color="D9D5C8" w:sz="4"/>
            </w:tcBorders>
            <w:shd w:fill="1B2A4A" w:color="auto" w:val="clear"/>
            <w:tcMar>
              <w:top w:type="dxa" w:w="60"/>
              <w:left w:type="dxa" w:w="110"/>
              <w:bottom w:type="dxa" w:w="60"/>
              <w:right w:type="dxa" w:w="110"/>
            </w:tcMar>
          </w:tcPr>
          <w:p>
            <w:pPr>
              <w:spacing w:after="0"/>
            </w:pPr>
            <w:r>
              <w:rPr>
                <w:rFonts w:ascii="Calibri" w:cs="Calibri" w:eastAsia="Calibri" w:hAnsi="Calibri"/>
                <w:b/>
                <w:bCs/>
                <w:i w:val="false"/>
                <w:iCs w:val="false"/>
                <w:color w:val="FFFFFF"/>
                <w:sz w:val="19"/>
                <w:szCs w:val="19"/>
              </w:rPr>
              <w:t xml:space="preserve">Item</w:t>
            </w:r>
          </w:p>
        </w:tc>
        <w:tc>
          <w:tcPr>
            <w:tcW w:type="dxa" w:w="900"/>
            <w:tcBorders>
              <w:top w:val="single" w:color="D9D5C8" w:sz="4"/>
              <w:left w:val="single" w:color="D9D5C8" w:sz="4"/>
              <w:bottom w:val="single" w:color="D9D5C8" w:sz="4"/>
              <w:right w:val="single" w:color="D9D5C8" w:sz="4"/>
            </w:tcBorders>
            <w:shd w:fill="1B2A4A" w:color="auto" w:val="clear"/>
            <w:tcMar>
              <w:top w:type="dxa" w:w="60"/>
              <w:left w:type="dxa" w:w="110"/>
              <w:bottom w:type="dxa" w:w="60"/>
              <w:right w:type="dxa" w:w="110"/>
            </w:tcMar>
          </w:tcPr>
          <w:p>
            <w:pPr>
              <w:spacing w:after="0"/>
            </w:pPr>
            <w:r>
              <w:rPr>
                <w:rFonts w:ascii="Calibri" w:cs="Calibri" w:eastAsia="Calibri" w:hAnsi="Calibri"/>
                <w:b/>
                <w:bCs/>
                <w:i w:val="false"/>
                <w:iCs w:val="false"/>
                <w:color w:val="FFFFFF"/>
                <w:sz w:val="19"/>
                <w:szCs w:val="19"/>
              </w:rPr>
              <w:t xml:space="preserve">DOK</w:t>
            </w:r>
          </w:p>
        </w:tc>
        <w:tc>
          <w:tcPr>
            <w:tcW w:type="dxa" w:w="900"/>
            <w:tcBorders>
              <w:top w:val="single" w:color="D9D5C8" w:sz="4"/>
              <w:left w:val="single" w:color="D9D5C8" w:sz="4"/>
              <w:bottom w:val="single" w:color="D9D5C8" w:sz="4"/>
              <w:right w:val="single" w:color="D9D5C8" w:sz="4"/>
            </w:tcBorders>
            <w:shd w:fill="1B2A4A" w:color="auto" w:val="clear"/>
            <w:tcMar>
              <w:top w:type="dxa" w:w="60"/>
              <w:left w:type="dxa" w:w="110"/>
              <w:bottom w:type="dxa" w:w="60"/>
              <w:right w:type="dxa" w:w="110"/>
            </w:tcMar>
          </w:tcPr>
          <w:p>
            <w:pPr>
              <w:spacing w:after="0"/>
            </w:pPr>
            <w:r>
              <w:rPr>
                <w:rFonts w:ascii="Calibri" w:cs="Calibri" w:eastAsia="Calibri" w:hAnsi="Calibri"/>
                <w:b/>
                <w:bCs/>
                <w:i w:val="false"/>
                <w:iCs w:val="false"/>
                <w:color w:val="FFFFFF"/>
                <w:sz w:val="19"/>
                <w:szCs w:val="19"/>
              </w:rPr>
              <w:t xml:space="preserve">Key</w:t>
            </w:r>
          </w:p>
        </w:tc>
        <w:tc>
          <w:tcPr>
            <w:tcW w:type="dxa" w:w="5248"/>
            <w:tcBorders>
              <w:top w:val="single" w:color="D9D5C8" w:sz="4"/>
              <w:left w:val="single" w:color="D9D5C8" w:sz="4"/>
              <w:bottom w:val="single" w:color="D9D5C8" w:sz="4"/>
              <w:right w:val="single" w:color="D9D5C8" w:sz="4"/>
            </w:tcBorders>
            <w:shd w:fill="1B2A4A" w:color="auto" w:val="clear"/>
            <w:tcMar>
              <w:top w:type="dxa" w:w="60"/>
              <w:left w:type="dxa" w:w="110"/>
              <w:bottom w:type="dxa" w:w="60"/>
              <w:right w:type="dxa" w:w="110"/>
            </w:tcMar>
          </w:tcPr>
          <w:p>
            <w:pPr>
              <w:spacing w:after="0"/>
            </w:pPr>
            <w:r>
              <w:rPr>
                <w:rFonts w:ascii="Calibri" w:cs="Calibri" w:eastAsia="Calibri" w:hAnsi="Calibri"/>
                <w:b/>
                <w:bCs/>
                <w:i w:val="false"/>
                <w:iCs w:val="false"/>
                <w:color w:val="FFFFFF"/>
                <w:sz w:val="19"/>
                <w:szCs w:val="19"/>
              </w:rPr>
              <w:t xml:space="preserve">Rationale</w:t>
            </w:r>
          </w:p>
        </w:tc>
      </w:tr>
      <w:tr>
        <w:tc>
          <w:tcPr>
            <w:tcW w:type="dxa" w:w="26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us40-q2</w:t>
            </w:r>
          </w:p>
        </w:tc>
        <w:tc>
          <w:tcPr>
            <w:tcW w:type="dxa" w:w="9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2</w:t>
            </w:r>
          </w:p>
        </w:tc>
        <w:tc>
          <w:tcPr>
            <w:tcW w:type="dxa" w:w="9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A</w:t>
            </w:r>
          </w:p>
        </w:tc>
        <w:tc>
          <w:tcPr>
            <w:tcW w:type="dxa" w:w="5248"/>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Recall of the standard’s core term/fact.</w:t>
            </w:r>
          </w:p>
        </w:tc>
      </w:tr>
      <w:tr>
        <w:tc>
          <w:tcPr>
            <w:tcW w:type="dxa" w:w="26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u1-us40-dok3-tc</w:t>
            </w:r>
          </w:p>
        </w:tc>
        <w:tc>
          <w:tcPr>
            <w:tcW w:type="dxa" w:w="9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3</w:t>
            </w:r>
          </w:p>
        </w:tc>
        <w:tc>
          <w:tcPr>
            <w:tcW w:type="dxa" w:w="9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B</w:t>
            </w:r>
          </w:p>
        </w:tc>
        <w:tc>
          <w:tcPr>
            <w:tcW w:type="dxa" w:w="5248"/>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The Dust Bowl caused devastating long-term damage: massive topsoil loss, agricultural collapse, ecosystem destruction, population loss, and economic devastation that required decades and major government conservation programs to address.</w:t>
            </w:r>
          </w:p>
        </w:tc>
      </w:tr>
    </w:tbl>
    <w:p>
      <w:pPr>
        <w:pStyle w:val="Heading3"/>
        <w:keepNext/>
        <w:spacing w:after="90" w:before="150"/>
      </w:pPr>
      <w:r>
        <w:rPr>
          <w:rFonts w:ascii="Calibri" w:cs="Calibri" w:eastAsia="Calibri" w:hAnsi="Calibri"/>
          <w:b/>
          <w:bCs/>
          <w:i w:val="false"/>
          <w:iCs w:val="false"/>
          <w:color w:val="B22234"/>
          <w:sz w:val="24"/>
          <w:szCs w:val="24"/>
        </w:rPr>
        <w:t xml:space="preserve">US.41 — Impact of the Great Depression on the American People</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600"/>
        <w:gridCol w:w="900"/>
        <w:gridCol w:w="900"/>
        <w:gridCol w:w="5248"/>
      </w:tblGrid>
      <w:tr>
        <w:trPr>
          <w:tblHeader/>
        </w:trPr>
        <w:tc>
          <w:tcPr>
            <w:tcW w:type="dxa" w:w="2600"/>
            <w:tcBorders>
              <w:top w:val="single" w:color="D9D5C8" w:sz="4"/>
              <w:left w:val="single" w:color="D9D5C8" w:sz="4"/>
              <w:bottom w:val="single" w:color="D9D5C8" w:sz="4"/>
              <w:right w:val="single" w:color="D9D5C8" w:sz="4"/>
            </w:tcBorders>
            <w:shd w:fill="1B2A4A" w:color="auto" w:val="clear"/>
            <w:tcMar>
              <w:top w:type="dxa" w:w="60"/>
              <w:left w:type="dxa" w:w="110"/>
              <w:bottom w:type="dxa" w:w="60"/>
              <w:right w:type="dxa" w:w="110"/>
            </w:tcMar>
          </w:tcPr>
          <w:p>
            <w:pPr>
              <w:spacing w:after="0"/>
            </w:pPr>
            <w:r>
              <w:rPr>
                <w:rFonts w:ascii="Calibri" w:cs="Calibri" w:eastAsia="Calibri" w:hAnsi="Calibri"/>
                <w:b/>
                <w:bCs/>
                <w:i w:val="false"/>
                <w:iCs w:val="false"/>
                <w:color w:val="FFFFFF"/>
                <w:sz w:val="19"/>
                <w:szCs w:val="19"/>
              </w:rPr>
              <w:t xml:space="preserve">Item</w:t>
            </w:r>
          </w:p>
        </w:tc>
        <w:tc>
          <w:tcPr>
            <w:tcW w:type="dxa" w:w="900"/>
            <w:tcBorders>
              <w:top w:val="single" w:color="D9D5C8" w:sz="4"/>
              <w:left w:val="single" w:color="D9D5C8" w:sz="4"/>
              <w:bottom w:val="single" w:color="D9D5C8" w:sz="4"/>
              <w:right w:val="single" w:color="D9D5C8" w:sz="4"/>
            </w:tcBorders>
            <w:shd w:fill="1B2A4A" w:color="auto" w:val="clear"/>
            <w:tcMar>
              <w:top w:type="dxa" w:w="60"/>
              <w:left w:type="dxa" w:w="110"/>
              <w:bottom w:type="dxa" w:w="60"/>
              <w:right w:type="dxa" w:w="110"/>
            </w:tcMar>
          </w:tcPr>
          <w:p>
            <w:pPr>
              <w:spacing w:after="0"/>
            </w:pPr>
            <w:r>
              <w:rPr>
                <w:rFonts w:ascii="Calibri" w:cs="Calibri" w:eastAsia="Calibri" w:hAnsi="Calibri"/>
                <w:b/>
                <w:bCs/>
                <w:i w:val="false"/>
                <w:iCs w:val="false"/>
                <w:color w:val="FFFFFF"/>
                <w:sz w:val="19"/>
                <w:szCs w:val="19"/>
              </w:rPr>
              <w:t xml:space="preserve">DOK</w:t>
            </w:r>
          </w:p>
        </w:tc>
        <w:tc>
          <w:tcPr>
            <w:tcW w:type="dxa" w:w="900"/>
            <w:tcBorders>
              <w:top w:val="single" w:color="D9D5C8" w:sz="4"/>
              <w:left w:val="single" w:color="D9D5C8" w:sz="4"/>
              <w:bottom w:val="single" w:color="D9D5C8" w:sz="4"/>
              <w:right w:val="single" w:color="D9D5C8" w:sz="4"/>
            </w:tcBorders>
            <w:shd w:fill="1B2A4A" w:color="auto" w:val="clear"/>
            <w:tcMar>
              <w:top w:type="dxa" w:w="60"/>
              <w:left w:type="dxa" w:w="110"/>
              <w:bottom w:type="dxa" w:w="60"/>
              <w:right w:type="dxa" w:w="110"/>
            </w:tcMar>
          </w:tcPr>
          <w:p>
            <w:pPr>
              <w:spacing w:after="0"/>
            </w:pPr>
            <w:r>
              <w:rPr>
                <w:rFonts w:ascii="Calibri" w:cs="Calibri" w:eastAsia="Calibri" w:hAnsi="Calibri"/>
                <w:b/>
                <w:bCs/>
                <w:i w:val="false"/>
                <w:iCs w:val="false"/>
                <w:color w:val="FFFFFF"/>
                <w:sz w:val="19"/>
                <w:szCs w:val="19"/>
              </w:rPr>
              <w:t xml:space="preserve">Key</w:t>
            </w:r>
          </w:p>
        </w:tc>
        <w:tc>
          <w:tcPr>
            <w:tcW w:type="dxa" w:w="5248"/>
            <w:tcBorders>
              <w:top w:val="single" w:color="D9D5C8" w:sz="4"/>
              <w:left w:val="single" w:color="D9D5C8" w:sz="4"/>
              <w:bottom w:val="single" w:color="D9D5C8" w:sz="4"/>
              <w:right w:val="single" w:color="D9D5C8" w:sz="4"/>
            </w:tcBorders>
            <w:shd w:fill="1B2A4A" w:color="auto" w:val="clear"/>
            <w:tcMar>
              <w:top w:type="dxa" w:w="60"/>
              <w:left w:type="dxa" w:w="110"/>
              <w:bottom w:type="dxa" w:w="60"/>
              <w:right w:type="dxa" w:w="110"/>
            </w:tcMar>
          </w:tcPr>
          <w:p>
            <w:pPr>
              <w:spacing w:after="0"/>
            </w:pPr>
            <w:r>
              <w:rPr>
                <w:rFonts w:ascii="Calibri" w:cs="Calibri" w:eastAsia="Calibri" w:hAnsi="Calibri"/>
                <w:b/>
                <w:bCs/>
                <w:i w:val="false"/>
                <w:iCs w:val="false"/>
                <w:color w:val="FFFFFF"/>
                <w:sz w:val="19"/>
                <w:szCs w:val="19"/>
              </w:rPr>
              <w:t xml:space="preserve">Rationale</w:t>
            </w:r>
          </w:p>
        </w:tc>
      </w:tr>
      <w:tr>
        <w:tc>
          <w:tcPr>
            <w:tcW w:type="dxa" w:w="26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us41-q2</w:t>
            </w:r>
          </w:p>
        </w:tc>
        <w:tc>
          <w:tcPr>
            <w:tcW w:type="dxa" w:w="9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2</w:t>
            </w:r>
          </w:p>
        </w:tc>
        <w:tc>
          <w:tcPr>
            <w:tcW w:type="dxa" w:w="9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A</w:t>
            </w:r>
          </w:p>
        </w:tc>
        <w:tc>
          <w:tcPr>
            <w:tcW w:type="dxa" w:w="5248"/>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Recall of the standard’s core term/fact.</w:t>
            </w:r>
          </w:p>
        </w:tc>
      </w:tr>
      <w:tr>
        <w:tc>
          <w:tcPr>
            <w:tcW w:type="dxa" w:w="26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u1-us41-dok3-tc</w:t>
            </w:r>
          </w:p>
        </w:tc>
        <w:tc>
          <w:tcPr>
            <w:tcW w:type="dxa" w:w="9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3</w:t>
            </w:r>
          </w:p>
        </w:tc>
        <w:tc>
          <w:tcPr>
            <w:tcW w:type="dxa" w:w="9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C</w:t>
            </w:r>
          </w:p>
        </w:tc>
        <w:tc>
          <w:tcPr>
            <w:tcW w:type="dxa" w:w="5248"/>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The Depression fundamentally reshaped American society: middle-class families fell into poverty, gender roles shifted, communities developed stronger mutual aid networks, and the collective trauma created lasting acceptance of expanded government involvement in the economy.</w:t>
            </w:r>
          </w:p>
        </w:tc>
      </w:tr>
    </w:tbl>
    <w:p>
      <w:pPr>
        <w:pStyle w:val="Heading3"/>
        <w:keepNext/>
        <w:spacing w:after="90" w:before="150"/>
      </w:pPr>
      <w:r>
        <w:rPr>
          <w:rFonts w:ascii="Calibri" w:cs="Calibri" w:eastAsia="Calibri" w:hAnsi="Calibri"/>
          <w:b/>
          <w:bCs/>
          <w:i w:val="false"/>
          <w:iCs w:val="false"/>
          <w:color w:val="B22234"/>
          <w:sz w:val="24"/>
          <w:szCs w:val="24"/>
        </w:rPr>
        <w:t xml:space="preserve">US.42 — Herbert Hoover's Response</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600"/>
        <w:gridCol w:w="900"/>
        <w:gridCol w:w="900"/>
        <w:gridCol w:w="5248"/>
      </w:tblGrid>
      <w:tr>
        <w:trPr>
          <w:tblHeader/>
        </w:trPr>
        <w:tc>
          <w:tcPr>
            <w:tcW w:type="dxa" w:w="2600"/>
            <w:tcBorders>
              <w:top w:val="single" w:color="D9D5C8" w:sz="4"/>
              <w:left w:val="single" w:color="D9D5C8" w:sz="4"/>
              <w:bottom w:val="single" w:color="D9D5C8" w:sz="4"/>
              <w:right w:val="single" w:color="D9D5C8" w:sz="4"/>
            </w:tcBorders>
            <w:shd w:fill="1B2A4A" w:color="auto" w:val="clear"/>
            <w:tcMar>
              <w:top w:type="dxa" w:w="60"/>
              <w:left w:type="dxa" w:w="110"/>
              <w:bottom w:type="dxa" w:w="60"/>
              <w:right w:type="dxa" w:w="110"/>
            </w:tcMar>
          </w:tcPr>
          <w:p>
            <w:pPr>
              <w:spacing w:after="0"/>
            </w:pPr>
            <w:r>
              <w:rPr>
                <w:rFonts w:ascii="Calibri" w:cs="Calibri" w:eastAsia="Calibri" w:hAnsi="Calibri"/>
                <w:b/>
                <w:bCs/>
                <w:i w:val="false"/>
                <w:iCs w:val="false"/>
                <w:color w:val="FFFFFF"/>
                <w:sz w:val="19"/>
                <w:szCs w:val="19"/>
              </w:rPr>
              <w:t xml:space="preserve">Item</w:t>
            </w:r>
          </w:p>
        </w:tc>
        <w:tc>
          <w:tcPr>
            <w:tcW w:type="dxa" w:w="900"/>
            <w:tcBorders>
              <w:top w:val="single" w:color="D9D5C8" w:sz="4"/>
              <w:left w:val="single" w:color="D9D5C8" w:sz="4"/>
              <w:bottom w:val="single" w:color="D9D5C8" w:sz="4"/>
              <w:right w:val="single" w:color="D9D5C8" w:sz="4"/>
            </w:tcBorders>
            <w:shd w:fill="1B2A4A" w:color="auto" w:val="clear"/>
            <w:tcMar>
              <w:top w:type="dxa" w:w="60"/>
              <w:left w:type="dxa" w:w="110"/>
              <w:bottom w:type="dxa" w:w="60"/>
              <w:right w:type="dxa" w:w="110"/>
            </w:tcMar>
          </w:tcPr>
          <w:p>
            <w:pPr>
              <w:spacing w:after="0"/>
            </w:pPr>
            <w:r>
              <w:rPr>
                <w:rFonts w:ascii="Calibri" w:cs="Calibri" w:eastAsia="Calibri" w:hAnsi="Calibri"/>
                <w:b/>
                <w:bCs/>
                <w:i w:val="false"/>
                <w:iCs w:val="false"/>
                <w:color w:val="FFFFFF"/>
                <w:sz w:val="19"/>
                <w:szCs w:val="19"/>
              </w:rPr>
              <w:t xml:space="preserve">DOK</w:t>
            </w:r>
          </w:p>
        </w:tc>
        <w:tc>
          <w:tcPr>
            <w:tcW w:type="dxa" w:w="900"/>
            <w:tcBorders>
              <w:top w:val="single" w:color="D9D5C8" w:sz="4"/>
              <w:left w:val="single" w:color="D9D5C8" w:sz="4"/>
              <w:bottom w:val="single" w:color="D9D5C8" w:sz="4"/>
              <w:right w:val="single" w:color="D9D5C8" w:sz="4"/>
            </w:tcBorders>
            <w:shd w:fill="1B2A4A" w:color="auto" w:val="clear"/>
            <w:tcMar>
              <w:top w:type="dxa" w:w="60"/>
              <w:left w:type="dxa" w:w="110"/>
              <w:bottom w:type="dxa" w:w="60"/>
              <w:right w:type="dxa" w:w="110"/>
            </w:tcMar>
          </w:tcPr>
          <w:p>
            <w:pPr>
              <w:spacing w:after="0"/>
            </w:pPr>
            <w:r>
              <w:rPr>
                <w:rFonts w:ascii="Calibri" w:cs="Calibri" w:eastAsia="Calibri" w:hAnsi="Calibri"/>
                <w:b/>
                <w:bCs/>
                <w:i w:val="false"/>
                <w:iCs w:val="false"/>
                <w:color w:val="FFFFFF"/>
                <w:sz w:val="19"/>
                <w:szCs w:val="19"/>
              </w:rPr>
              <w:t xml:space="preserve">Key</w:t>
            </w:r>
          </w:p>
        </w:tc>
        <w:tc>
          <w:tcPr>
            <w:tcW w:type="dxa" w:w="5248"/>
            <w:tcBorders>
              <w:top w:val="single" w:color="D9D5C8" w:sz="4"/>
              <w:left w:val="single" w:color="D9D5C8" w:sz="4"/>
              <w:bottom w:val="single" w:color="D9D5C8" w:sz="4"/>
              <w:right w:val="single" w:color="D9D5C8" w:sz="4"/>
            </w:tcBorders>
            <w:shd w:fill="1B2A4A" w:color="auto" w:val="clear"/>
            <w:tcMar>
              <w:top w:type="dxa" w:w="60"/>
              <w:left w:type="dxa" w:w="110"/>
              <w:bottom w:type="dxa" w:w="60"/>
              <w:right w:type="dxa" w:w="110"/>
            </w:tcMar>
          </w:tcPr>
          <w:p>
            <w:pPr>
              <w:spacing w:after="0"/>
            </w:pPr>
            <w:r>
              <w:rPr>
                <w:rFonts w:ascii="Calibri" w:cs="Calibri" w:eastAsia="Calibri" w:hAnsi="Calibri"/>
                <w:b/>
                <w:bCs/>
                <w:i w:val="false"/>
                <w:iCs w:val="false"/>
                <w:color w:val="FFFFFF"/>
                <w:sz w:val="19"/>
                <w:szCs w:val="19"/>
              </w:rPr>
              <w:t xml:space="preserve">Rationale</w:t>
            </w:r>
          </w:p>
        </w:tc>
      </w:tr>
      <w:tr>
        <w:tc>
          <w:tcPr>
            <w:tcW w:type="dxa" w:w="26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us42-q2</w:t>
            </w:r>
          </w:p>
        </w:tc>
        <w:tc>
          <w:tcPr>
            <w:tcW w:type="dxa" w:w="9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2</w:t>
            </w:r>
          </w:p>
        </w:tc>
        <w:tc>
          <w:tcPr>
            <w:tcW w:type="dxa" w:w="9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A</w:t>
            </w:r>
          </w:p>
        </w:tc>
        <w:tc>
          <w:tcPr>
            <w:tcW w:type="dxa" w:w="5248"/>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Recall of the standard’s core term/fact.</w:t>
            </w:r>
          </w:p>
        </w:tc>
      </w:tr>
      <w:tr>
        <w:tc>
          <w:tcPr>
            <w:tcW w:type="dxa" w:w="26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u1-us42-dok3-tc</w:t>
            </w:r>
          </w:p>
        </w:tc>
        <w:tc>
          <w:tcPr>
            <w:tcW w:type="dxa" w:w="9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3</w:t>
            </w:r>
          </w:p>
        </w:tc>
        <w:tc>
          <w:tcPr>
            <w:tcW w:type="dxa" w:w="9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D</w:t>
            </w:r>
          </w:p>
        </w:tc>
        <w:tc>
          <w:tcPr>
            <w:tcW w:type="dxa" w:w="5248"/>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The violent dispersal of the Bonus Army became a symbol of Hoover's failed response to the Depression. Images of military force against desperate veterans devastated his public image and contributed significantly to his landslide defeat to FDR.</w:t>
            </w:r>
          </w:p>
        </w:tc>
      </w:tr>
    </w:tbl>
    <w:p>
      <w:pPr>
        <w:pStyle w:val="Heading3"/>
        <w:keepNext/>
        <w:spacing w:after="90" w:before="150"/>
      </w:pPr>
      <w:r>
        <w:rPr>
          <w:rFonts w:ascii="Calibri" w:cs="Calibri" w:eastAsia="Calibri" w:hAnsi="Calibri"/>
          <w:b/>
          <w:bCs/>
          <w:i w:val="false"/>
          <w:iCs w:val="false"/>
          <w:color w:val="B22234"/>
          <w:sz w:val="24"/>
          <w:szCs w:val="24"/>
        </w:rPr>
        <w:t xml:space="preserve">US.43 — FDR's New Deal Programs</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600"/>
        <w:gridCol w:w="900"/>
        <w:gridCol w:w="900"/>
        <w:gridCol w:w="5248"/>
      </w:tblGrid>
      <w:tr>
        <w:trPr>
          <w:tblHeader/>
        </w:trPr>
        <w:tc>
          <w:tcPr>
            <w:tcW w:type="dxa" w:w="2600"/>
            <w:tcBorders>
              <w:top w:val="single" w:color="D9D5C8" w:sz="4"/>
              <w:left w:val="single" w:color="D9D5C8" w:sz="4"/>
              <w:bottom w:val="single" w:color="D9D5C8" w:sz="4"/>
              <w:right w:val="single" w:color="D9D5C8" w:sz="4"/>
            </w:tcBorders>
            <w:shd w:fill="1B2A4A" w:color="auto" w:val="clear"/>
            <w:tcMar>
              <w:top w:type="dxa" w:w="60"/>
              <w:left w:type="dxa" w:w="110"/>
              <w:bottom w:type="dxa" w:w="60"/>
              <w:right w:type="dxa" w:w="110"/>
            </w:tcMar>
          </w:tcPr>
          <w:p>
            <w:pPr>
              <w:spacing w:after="0"/>
            </w:pPr>
            <w:r>
              <w:rPr>
                <w:rFonts w:ascii="Calibri" w:cs="Calibri" w:eastAsia="Calibri" w:hAnsi="Calibri"/>
                <w:b/>
                <w:bCs/>
                <w:i w:val="false"/>
                <w:iCs w:val="false"/>
                <w:color w:val="FFFFFF"/>
                <w:sz w:val="19"/>
                <w:szCs w:val="19"/>
              </w:rPr>
              <w:t xml:space="preserve">Item</w:t>
            </w:r>
          </w:p>
        </w:tc>
        <w:tc>
          <w:tcPr>
            <w:tcW w:type="dxa" w:w="900"/>
            <w:tcBorders>
              <w:top w:val="single" w:color="D9D5C8" w:sz="4"/>
              <w:left w:val="single" w:color="D9D5C8" w:sz="4"/>
              <w:bottom w:val="single" w:color="D9D5C8" w:sz="4"/>
              <w:right w:val="single" w:color="D9D5C8" w:sz="4"/>
            </w:tcBorders>
            <w:shd w:fill="1B2A4A" w:color="auto" w:val="clear"/>
            <w:tcMar>
              <w:top w:type="dxa" w:w="60"/>
              <w:left w:type="dxa" w:w="110"/>
              <w:bottom w:type="dxa" w:w="60"/>
              <w:right w:type="dxa" w:w="110"/>
            </w:tcMar>
          </w:tcPr>
          <w:p>
            <w:pPr>
              <w:spacing w:after="0"/>
            </w:pPr>
            <w:r>
              <w:rPr>
                <w:rFonts w:ascii="Calibri" w:cs="Calibri" w:eastAsia="Calibri" w:hAnsi="Calibri"/>
                <w:b/>
                <w:bCs/>
                <w:i w:val="false"/>
                <w:iCs w:val="false"/>
                <w:color w:val="FFFFFF"/>
                <w:sz w:val="19"/>
                <w:szCs w:val="19"/>
              </w:rPr>
              <w:t xml:space="preserve">DOK</w:t>
            </w:r>
          </w:p>
        </w:tc>
        <w:tc>
          <w:tcPr>
            <w:tcW w:type="dxa" w:w="900"/>
            <w:tcBorders>
              <w:top w:val="single" w:color="D9D5C8" w:sz="4"/>
              <w:left w:val="single" w:color="D9D5C8" w:sz="4"/>
              <w:bottom w:val="single" w:color="D9D5C8" w:sz="4"/>
              <w:right w:val="single" w:color="D9D5C8" w:sz="4"/>
            </w:tcBorders>
            <w:shd w:fill="1B2A4A" w:color="auto" w:val="clear"/>
            <w:tcMar>
              <w:top w:type="dxa" w:w="60"/>
              <w:left w:type="dxa" w:w="110"/>
              <w:bottom w:type="dxa" w:w="60"/>
              <w:right w:type="dxa" w:w="110"/>
            </w:tcMar>
          </w:tcPr>
          <w:p>
            <w:pPr>
              <w:spacing w:after="0"/>
            </w:pPr>
            <w:r>
              <w:rPr>
                <w:rFonts w:ascii="Calibri" w:cs="Calibri" w:eastAsia="Calibri" w:hAnsi="Calibri"/>
                <w:b/>
                <w:bCs/>
                <w:i w:val="false"/>
                <w:iCs w:val="false"/>
                <w:color w:val="FFFFFF"/>
                <w:sz w:val="19"/>
                <w:szCs w:val="19"/>
              </w:rPr>
              <w:t xml:space="preserve">Key</w:t>
            </w:r>
          </w:p>
        </w:tc>
        <w:tc>
          <w:tcPr>
            <w:tcW w:type="dxa" w:w="5248"/>
            <w:tcBorders>
              <w:top w:val="single" w:color="D9D5C8" w:sz="4"/>
              <w:left w:val="single" w:color="D9D5C8" w:sz="4"/>
              <w:bottom w:val="single" w:color="D9D5C8" w:sz="4"/>
              <w:right w:val="single" w:color="D9D5C8" w:sz="4"/>
            </w:tcBorders>
            <w:shd w:fill="1B2A4A" w:color="auto" w:val="clear"/>
            <w:tcMar>
              <w:top w:type="dxa" w:w="60"/>
              <w:left w:type="dxa" w:w="110"/>
              <w:bottom w:type="dxa" w:w="60"/>
              <w:right w:type="dxa" w:w="110"/>
            </w:tcMar>
          </w:tcPr>
          <w:p>
            <w:pPr>
              <w:spacing w:after="0"/>
            </w:pPr>
            <w:r>
              <w:rPr>
                <w:rFonts w:ascii="Calibri" w:cs="Calibri" w:eastAsia="Calibri" w:hAnsi="Calibri"/>
                <w:b/>
                <w:bCs/>
                <w:i w:val="false"/>
                <w:iCs w:val="false"/>
                <w:color w:val="FFFFFF"/>
                <w:sz w:val="19"/>
                <w:szCs w:val="19"/>
              </w:rPr>
              <w:t xml:space="preserve">Rationale</w:t>
            </w:r>
          </w:p>
        </w:tc>
      </w:tr>
      <w:tr>
        <w:tc>
          <w:tcPr>
            <w:tcW w:type="dxa" w:w="26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us43-q2</w:t>
            </w:r>
          </w:p>
        </w:tc>
        <w:tc>
          <w:tcPr>
            <w:tcW w:type="dxa" w:w="9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2</w:t>
            </w:r>
          </w:p>
        </w:tc>
        <w:tc>
          <w:tcPr>
            <w:tcW w:type="dxa" w:w="9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A</w:t>
            </w:r>
          </w:p>
        </w:tc>
        <w:tc>
          <w:tcPr>
            <w:tcW w:type="dxa" w:w="5248"/>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Recall of the standard’s core term/fact.</w:t>
            </w:r>
          </w:p>
        </w:tc>
      </w:tr>
      <w:tr>
        <w:tc>
          <w:tcPr>
            <w:tcW w:type="dxa" w:w="26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u1-us43-dok3-tc</w:t>
            </w:r>
          </w:p>
        </w:tc>
        <w:tc>
          <w:tcPr>
            <w:tcW w:type="dxa" w:w="9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3</w:t>
            </w:r>
          </w:p>
        </w:tc>
        <w:tc>
          <w:tcPr>
            <w:tcW w:type="dxa" w:w="9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A</w:t>
            </w:r>
          </w:p>
        </w:tc>
        <w:tc>
          <w:tcPr>
            <w:tcW w:type="dxa" w:w="5248"/>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The most enduring New Deal programs addressed fundamental structural issues: Social Security created permanent retirement security, FDIC and SEC stabilized finance, and TVA demonstrated effective regional development. These institutions remain central to American life.</w:t>
            </w:r>
          </w:p>
        </w:tc>
      </w:tr>
    </w:tbl>
    <w:p>
      <w:pPr>
        <w:pStyle w:val="Heading3"/>
        <w:keepNext/>
        <w:spacing w:after="90" w:before="150"/>
      </w:pPr>
      <w:r>
        <w:rPr>
          <w:rFonts w:ascii="Calibri" w:cs="Calibri" w:eastAsia="Calibri" w:hAnsi="Calibri"/>
          <w:b/>
          <w:bCs/>
          <w:i w:val="false"/>
          <w:iCs w:val="false"/>
          <w:color w:val="B22234"/>
          <w:sz w:val="24"/>
          <w:szCs w:val="24"/>
        </w:rPr>
        <w:t xml:space="preserve">US.44 — Effects and Controversies of New Deal Policies</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600"/>
        <w:gridCol w:w="900"/>
        <w:gridCol w:w="900"/>
        <w:gridCol w:w="5248"/>
      </w:tblGrid>
      <w:tr>
        <w:trPr>
          <w:tblHeader/>
        </w:trPr>
        <w:tc>
          <w:tcPr>
            <w:tcW w:type="dxa" w:w="2600"/>
            <w:tcBorders>
              <w:top w:val="single" w:color="D9D5C8" w:sz="4"/>
              <w:left w:val="single" w:color="D9D5C8" w:sz="4"/>
              <w:bottom w:val="single" w:color="D9D5C8" w:sz="4"/>
              <w:right w:val="single" w:color="D9D5C8" w:sz="4"/>
            </w:tcBorders>
            <w:shd w:fill="1B2A4A" w:color="auto" w:val="clear"/>
            <w:tcMar>
              <w:top w:type="dxa" w:w="60"/>
              <w:left w:type="dxa" w:w="110"/>
              <w:bottom w:type="dxa" w:w="60"/>
              <w:right w:type="dxa" w:w="110"/>
            </w:tcMar>
          </w:tcPr>
          <w:p>
            <w:pPr>
              <w:spacing w:after="0"/>
            </w:pPr>
            <w:r>
              <w:rPr>
                <w:rFonts w:ascii="Calibri" w:cs="Calibri" w:eastAsia="Calibri" w:hAnsi="Calibri"/>
                <w:b/>
                <w:bCs/>
                <w:i w:val="false"/>
                <w:iCs w:val="false"/>
                <w:color w:val="FFFFFF"/>
                <w:sz w:val="19"/>
                <w:szCs w:val="19"/>
              </w:rPr>
              <w:t xml:space="preserve">Item</w:t>
            </w:r>
          </w:p>
        </w:tc>
        <w:tc>
          <w:tcPr>
            <w:tcW w:type="dxa" w:w="900"/>
            <w:tcBorders>
              <w:top w:val="single" w:color="D9D5C8" w:sz="4"/>
              <w:left w:val="single" w:color="D9D5C8" w:sz="4"/>
              <w:bottom w:val="single" w:color="D9D5C8" w:sz="4"/>
              <w:right w:val="single" w:color="D9D5C8" w:sz="4"/>
            </w:tcBorders>
            <w:shd w:fill="1B2A4A" w:color="auto" w:val="clear"/>
            <w:tcMar>
              <w:top w:type="dxa" w:w="60"/>
              <w:left w:type="dxa" w:w="110"/>
              <w:bottom w:type="dxa" w:w="60"/>
              <w:right w:type="dxa" w:w="110"/>
            </w:tcMar>
          </w:tcPr>
          <w:p>
            <w:pPr>
              <w:spacing w:after="0"/>
            </w:pPr>
            <w:r>
              <w:rPr>
                <w:rFonts w:ascii="Calibri" w:cs="Calibri" w:eastAsia="Calibri" w:hAnsi="Calibri"/>
                <w:b/>
                <w:bCs/>
                <w:i w:val="false"/>
                <w:iCs w:val="false"/>
                <w:color w:val="FFFFFF"/>
                <w:sz w:val="19"/>
                <w:szCs w:val="19"/>
              </w:rPr>
              <w:t xml:space="preserve">DOK</w:t>
            </w:r>
          </w:p>
        </w:tc>
        <w:tc>
          <w:tcPr>
            <w:tcW w:type="dxa" w:w="900"/>
            <w:tcBorders>
              <w:top w:val="single" w:color="D9D5C8" w:sz="4"/>
              <w:left w:val="single" w:color="D9D5C8" w:sz="4"/>
              <w:bottom w:val="single" w:color="D9D5C8" w:sz="4"/>
              <w:right w:val="single" w:color="D9D5C8" w:sz="4"/>
            </w:tcBorders>
            <w:shd w:fill="1B2A4A" w:color="auto" w:val="clear"/>
            <w:tcMar>
              <w:top w:type="dxa" w:w="60"/>
              <w:left w:type="dxa" w:w="110"/>
              <w:bottom w:type="dxa" w:w="60"/>
              <w:right w:type="dxa" w:w="110"/>
            </w:tcMar>
          </w:tcPr>
          <w:p>
            <w:pPr>
              <w:spacing w:after="0"/>
            </w:pPr>
            <w:r>
              <w:rPr>
                <w:rFonts w:ascii="Calibri" w:cs="Calibri" w:eastAsia="Calibri" w:hAnsi="Calibri"/>
                <w:b/>
                <w:bCs/>
                <w:i w:val="false"/>
                <w:iCs w:val="false"/>
                <w:color w:val="FFFFFF"/>
                <w:sz w:val="19"/>
                <w:szCs w:val="19"/>
              </w:rPr>
              <w:t xml:space="preserve">Key</w:t>
            </w:r>
          </w:p>
        </w:tc>
        <w:tc>
          <w:tcPr>
            <w:tcW w:type="dxa" w:w="5248"/>
            <w:tcBorders>
              <w:top w:val="single" w:color="D9D5C8" w:sz="4"/>
              <w:left w:val="single" w:color="D9D5C8" w:sz="4"/>
              <w:bottom w:val="single" w:color="D9D5C8" w:sz="4"/>
              <w:right w:val="single" w:color="D9D5C8" w:sz="4"/>
            </w:tcBorders>
            <w:shd w:fill="1B2A4A" w:color="auto" w:val="clear"/>
            <w:tcMar>
              <w:top w:type="dxa" w:w="60"/>
              <w:left w:type="dxa" w:w="110"/>
              <w:bottom w:type="dxa" w:w="60"/>
              <w:right w:type="dxa" w:w="110"/>
            </w:tcMar>
          </w:tcPr>
          <w:p>
            <w:pPr>
              <w:spacing w:after="0"/>
            </w:pPr>
            <w:r>
              <w:rPr>
                <w:rFonts w:ascii="Calibri" w:cs="Calibri" w:eastAsia="Calibri" w:hAnsi="Calibri"/>
                <w:b/>
                <w:bCs/>
                <w:i w:val="false"/>
                <w:iCs w:val="false"/>
                <w:color w:val="FFFFFF"/>
                <w:sz w:val="19"/>
                <w:szCs w:val="19"/>
              </w:rPr>
              <w:t xml:space="preserve">Rationale</w:t>
            </w:r>
          </w:p>
        </w:tc>
      </w:tr>
      <w:tr>
        <w:tc>
          <w:tcPr>
            <w:tcW w:type="dxa" w:w="26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us44-q3</w:t>
            </w:r>
          </w:p>
        </w:tc>
        <w:tc>
          <w:tcPr>
            <w:tcW w:type="dxa" w:w="9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2</w:t>
            </w:r>
          </w:p>
        </w:tc>
        <w:tc>
          <w:tcPr>
            <w:tcW w:type="dxa" w:w="9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A</w:t>
            </w:r>
          </w:p>
        </w:tc>
        <w:tc>
          <w:tcPr>
            <w:tcW w:type="dxa" w:w="5248"/>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Recall of the standard’s core term/fact.</w:t>
            </w:r>
          </w:p>
        </w:tc>
      </w:tr>
      <w:tr>
        <w:tc>
          <w:tcPr>
            <w:tcW w:type="dxa" w:w="26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u1-us44-dok3-tc</w:t>
            </w:r>
          </w:p>
        </w:tc>
        <w:tc>
          <w:tcPr>
            <w:tcW w:type="dxa" w:w="9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3</w:t>
            </w:r>
          </w:p>
        </w:tc>
        <w:tc>
          <w:tcPr>
            <w:tcW w:type="dxa" w:w="9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B</w:t>
            </w:r>
          </w:p>
        </w:tc>
        <w:tc>
          <w:tcPr>
            <w:tcW w:type="dxa" w:w="5248"/>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While critics used "socialism" to attack expanded government regulation and social programs, the New Deal preserved private property and business ownership. It reformed capitalism through regulation and safety nets rather than replacing it with government ownership.</w:t>
            </w:r>
          </w:p>
        </w:tc>
      </w:tr>
    </w:tbl>
    <w:p>
      <w:r>
        <w:br w:type="page"/>
      </w:r>
    </w:p>
    <w:p>
      <w:pPr>
        <w:pStyle w:val="Heading1"/>
        <w:keepNext/>
        <w:spacing w:after="90" w:before="220"/>
      </w:pPr>
      <w:r>
        <w:rPr>
          <w:rFonts w:ascii="Calibri" w:cs="Calibri" w:eastAsia="Calibri" w:hAnsi="Calibri"/>
          <w:b/>
          <w:bCs/>
          <w:i w:val="false"/>
          <w:iCs w:val="false"/>
          <w:color w:val="1B2A4A"/>
          <w:sz w:val="36"/>
          <w:szCs w:val="36"/>
        </w:rPr>
        <w:t xml:space="preserve">11. How CAST UDL 3.0 Is Visible in Unit 5</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600"/>
        <w:gridCol w:w="7048"/>
      </w:tblGrid>
      <w:tr>
        <w:trPr>
          <w:tblHeader/>
        </w:trPr>
        <w:tc>
          <w:tcPr>
            <w:tcW w:type="dxa" w:w="2600"/>
            <w:tcBorders>
              <w:top w:val="single" w:color="D9D5C8" w:sz="4"/>
              <w:left w:val="single" w:color="D9D5C8" w:sz="4"/>
              <w:bottom w:val="single" w:color="D9D5C8" w:sz="4"/>
              <w:right w:val="single" w:color="D9D5C8" w:sz="4"/>
            </w:tcBorders>
            <w:shd w:fill="1B2A4A" w:color="auto" w:val="clear"/>
            <w:tcMar>
              <w:top w:type="dxa" w:w="60"/>
              <w:left w:type="dxa" w:w="110"/>
              <w:bottom w:type="dxa" w:w="60"/>
              <w:right w:type="dxa" w:w="110"/>
            </w:tcMar>
          </w:tcPr>
          <w:p>
            <w:pPr>
              <w:spacing w:after="0"/>
            </w:pPr>
            <w:r>
              <w:rPr>
                <w:rFonts w:ascii="Calibri" w:cs="Calibri" w:eastAsia="Calibri" w:hAnsi="Calibri"/>
                <w:b/>
                <w:bCs/>
                <w:i w:val="false"/>
                <w:iCs w:val="false"/>
                <w:color w:val="FFFFFF"/>
                <w:sz w:val="19"/>
                <w:szCs w:val="19"/>
              </w:rPr>
              <w:t xml:space="preserve">UDL principle</w:t>
            </w:r>
          </w:p>
        </w:tc>
        <w:tc>
          <w:tcPr>
            <w:tcW w:type="dxa" w:w="7048"/>
            <w:tcBorders>
              <w:top w:val="single" w:color="D9D5C8" w:sz="4"/>
              <w:left w:val="single" w:color="D9D5C8" w:sz="4"/>
              <w:bottom w:val="single" w:color="D9D5C8" w:sz="4"/>
              <w:right w:val="single" w:color="D9D5C8" w:sz="4"/>
            </w:tcBorders>
            <w:shd w:fill="1B2A4A" w:color="auto" w:val="clear"/>
            <w:tcMar>
              <w:top w:type="dxa" w:w="60"/>
              <w:left w:type="dxa" w:w="110"/>
              <w:bottom w:type="dxa" w:w="60"/>
              <w:right w:type="dxa" w:w="110"/>
            </w:tcMar>
          </w:tcPr>
          <w:p>
            <w:pPr>
              <w:spacing w:after="0"/>
            </w:pPr>
            <w:r>
              <w:rPr>
                <w:rFonts w:ascii="Calibri" w:cs="Calibri" w:eastAsia="Calibri" w:hAnsi="Calibri"/>
                <w:b/>
                <w:bCs/>
                <w:i w:val="false"/>
                <w:iCs w:val="false"/>
                <w:color w:val="FFFFFF"/>
                <w:sz w:val="19"/>
                <w:szCs w:val="19"/>
              </w:rPr>
              <w:t xml:space="preserve">In this unit</w:t>
            </w:r>
          </w:p>
        </w:tc>
      </w:tr>
      <w:tr>
        <w:tc>
          <w:tcPr>
            <w:tcW w:type="dxa" w:w="26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Engagement</w:t>
            </w:r>
          </w:p>
        </w:tc>
        <w:tc>
          <w:tcPr>
            <w:tcW w:type="dxa" w:w="7048"/>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Response choice; Tennessee Connection relevance; optional extensions.</w:t>
            </w:r>
          </w:p>
        </w:tc>
      </w:tr>
      <w:tr>
        <w:tc>
          <w:tcPr>
            <w:tcW w:type="dxa" w:w="26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Representation</w:t>
            </w:r>
          </w:p>
        </w:tc>
        <w:tc>
          <w:tcPr>
            <w:tcW w:type="dxa" w:w="7048"/>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Word Bank + pronunciation + Spanish; Close-Read supports; HIPPO scaffold.</w:t>
            </w:r>
          </w:p>
        </w:tc>
      </w:tr>
      <w:tr>
        <w:tc>
          <w:tcPr>
            <w:tcW w:type="dxa" w:w="26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Action &amp; Expression</w:t>
            </w:r>
          </w:p>
        </w:tc>
        <w:tc>
          <w:tcPr>
            <w:tcW w:type="dxa" w:w="7048"/>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Write / say / diagram; Frayer studio; CER with rubric.</w:t>
            </w:r>
          </w:p>
        </w:tc>
      </w:tr>
    </w:tbl>
    <w:p>
      <w:pPr>
        <w:spacing w:after="100"/>
      </w:pPr>
      <w:r>
        <w:rPr>
          <w:rFonts w:ascii="Calibri" w:cs="Calibri" w:eastAsia="Calibri" w:hAnsi="Calibri"/>
          <w:b w:val="false"/>
          <w:bCs w:val="false"/>
          <w:i/>
          <w:iCs/>
          <w:color w:val="6B7280"/>
          <w:sz w:val="20"/>
          <w:szCs w:val="20"/>
        </w:rPr>
        <w:t xml:space="preserve">No fixed-track labels appear anywhere in the student materials; supports are universal and optional.</w:t>
      </w:r>
    </w:p>
    <w:p>
      <w:r>
        <w:br w:type="page"/>
      </w:r>
    </w:p>
    <w:p>
      <w:pPr>
        <w:pStyle w:val="Heading1"/>
        <w:keepNext/>
        <w:spacing w:after="90" w:before="220"/>
      </w:pPr>
      <w:r>
        <w:rPr>
          <w:rFonts w:ascii="Calibri" w:cs="Calibri" w:eastAsia="Calibri" w:hAnsi="Calibri"/>
          <w:b/>
          <w:bCs/>
          <w:i w:val="false"/>
          <w:iCs w:val="false"/>
          <w:color w:val="1B2A4A"/>
          <w:sz w:val="36"/>
          <w:szCs w:val="36"/>
        </w:rPr>
        <w:t xml:space="preserve">12. Printable Blank Templates</w:t>
      </w:r>
    </w:p>
    <w:p>
      <w:pPr>
        <w:spacing w:after="100"/>
      </w:pPr>
      <w:r>
        <w:rPr>
          <w:rFonts w:ascii="Calibri" w:cs="Calibri" w:eastAsia="Calibri" w:hAnsi="Calibri"/>
          <w:b w:val="false"/>
          <w:bCs w:val="false"/>
          <w:i w:val="false"/>
          <w:iCs w:val="false"/>
          <w:color w:val="1A1A1A"/>
          <w:sz w:val="22"/>
          <w:szCs w:val="22"/>
        </w:rPr>
        <w:t xml:space="preserve">Reusable blank versions of the two most-printed student pages — print as many as you need for any lesson. Each is designed to fill one page; the Cornell notes are meant to print duplex with a support scaffold on the reverse.</w:t>
      </w:r>
    </w:p>
    <w:p>
      <w:pPr>
        <w:pStyle w:val="Heading2"/>
        <w:keepNext/>
        <w:spacing w:after="90" w:before="150"/>
      </w:pPr>
      <w:r>
        <w:rPr>
          <w:rFonts w:ascii="Calibri" w:cs="Calibri" w:eastAsia="Calibri" w:hAnsi="Calibri"/>
          <w:b/>
          <w:bCs/>
          <w:i w:val="false"/>
          <w:iCs w:val="false"/>
          <w:color w:val="1B2A4A"/>
          <w:sz w:val="28"/>
          <w:szCs w:val="28"/>
        </w:rPr>
        <w:t xml:space="preserve">Blank Cornell Notes — Universal Front (printable)</w:t>
      </w:r>
    </w:p>
    <w:p>
      <w:pPr>
        <w:spacing w:after="100"/>
      </w:pPr>
      <w:r>
        <w:rPr>
          <w:rFonts w:ascii="Calibri" w:cs="Calibri" w:eastAsia="Calibri" w:hAnsi="Calibri"/>
          <w:b w:val="false"/>
          <w:bCs w:val="false"/>
          <w:i w:val="false"/>
          <w:iCs w:val="false"/>
          <w:color w:val="1A1A1A"/>
          <w:sz w:val="21"/>
          <w:szCs w:val="21"/>
        </w:rPr>
        <w:t xml:space="preserve">Name: ______________________    Class / Period: __________    Date: __________    Topic: ______________________</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60"/>
              <w:left w:type="dxa" w:w="110"/>
              <w:bottom w:type="dxa" w:w="60"/>
              <w:right w:type="dxa" w:w="110"/>
            </w:tcMar>
          </w:tcPr>
          <w:p>
            <w:pPr>
              <w:spacing w:after="60"/>
            </w:pPr>
            <w:r>
              <w:rPr>
                <w:rFonts w:ascii="Calibri" w:cs="Calibri" w:eastAsia="Calibri" w:hAnsi="Calibri"/>
                <w:b/>
                <w:bCs/>
                <w:i w:val="false"/>
                <w:iCs w:val="false"/>
                <w:color w:val="1B2A4A"/>
                <w:sz w:val="21"/>
                <w:szCs w:val="21"/>
              </w:rPr>
              <w:t xml:space="preserve">LEARNING TARGET</w:t>
            </w:r>
          </w:p>
          <w:p>
            <w:pPr>
              <w:spacing w:after="40"/>
            </w:pPr>
            <w:r>
              <w:rPr>
                <w:rFonts w:ascii="Calibri" w:cs="Calibri" w:eastAsia="Calibri" w:hAnsi="Calibri"/>
                <w:b w:val="false"/>
                <w:bCs w:val="false"/>
                <w:i w:val="false"/>
                <w:iCs w:val="false"/>
                <w:color w:val="1A1A1A"/>
                <w:sz w:val="22"/>
                <w:szCs w:val="22"/>
              </w:rPr>
              <w:t xml:space="preserve">I can __________________________________________________________________________________</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600"/>
        <w:gridCol w:w="7048"/>
      </w:tblGrid>
      <w:tr>
        <w:trPr>
          <w:tblHeader/>
        </w:trPr>
        <w:tc>
          <w:tcPr>
            <w:tcW w:type="dxa" w:w="2600"/>
            <w:tcBorders>
              <w:top w:val="single" w:color="D9D5C8" w:sz="4"/>
              <w:left w:val="single" w:color="D9D5C8" w:sz="4"/>
              <w:bottom w:val="single" w:color="D9D5C8" w:sz="4"/>
              <w:right w:val="single" w:color="D9D5C8" w:sz="4"/>
            </w:tcBorders>
            <w:shd w:fill="F7F5EF" w:color="auto" w:val="clear"/>
            <w:tcMar>
              <w:top w:type="dxa" w:w="60"/>
              <w:left w:type="dxa" w:w="110"/>
              <w:bottom w:type="dxa" w:w="60"/>
              <w:right w:type="dxa" w:w="110"/>
            </w:tcMar>
          </w:tcPr>
          <w:p>
            <w:pPr>
              <w:spacing w:after="0"/>
            </w:pPr>
            <w:r>
              <w:rPr>
                <w:rFonts w:ascii="Calibri" w:cs="Calibri" w:eastAsia="Calibri" w:hAnsi="Calibri"/>
                <w:b/>
                <w:bCs/>
                <w:i w:val="false"/>
                <w:iCs w:val="false"/>
                <w:color w:val="1B2A4A"/>
                <w:sz w:val="18"/>
                <w:szCs w:val="18"/>
              </w:rPr>
              <w:t xml:space="preserve">Guiding cues (about 25%)</w:t>
            </w:r>
          </w:p>
        </w:tc>
        <w:tc>
          <w:tcPr>
            <w:tcW w:type="dxa" w:w="7048"/>
            <w:tcBorders>
              <w:top w:val="single" w:color="D9D5C8" w:sz="4"/>
              <w:left w:val="single" w:color="D9D5C8" w:sz="4"/>
              <w:bottom w:val="single" w:color="D9D5C8" w:sz="4"/>
              <w:right w:val="single" w:color="D9D5C8" w:sz="4"/>
            </w:tcBorders>
            <w:shd w:fill="1B2A4A" w:color="auto" w:val="clear"/>
            <w:tcMar>
              <w:top w:type="dxa" w:w="60"/>
              <w:left w:type="dxa" w:w="110"/>
              <w:bottom w:type="dxa" w:w="60"/>
              <w:right w:type="dxa" w:w="110"/>
            </w:tcMar>
          </w:tcPr>
          <w:p>
            <w:pPr>
              <w:spacing w:after="0"/>
            </w:pPr>
            <w:r>
              <w:rPr>
                <w:rFonts w:ascii="Calibri" w:cs="Calibri" w:eastAsia="Calibri" w:hAnsi="Calibri"/>
                <w:b/>
                <w:bCs/>
                <w:i w:val="false"/>
                <w:iCs w:val="false"/>
                <w:color w:val="FFFFFF"/>
                <w:sz w:val="18"/>
                <w:szCs w:val="18"/>
              </w:rPr>
              <w:t xml:space="preserve">My notes (about 75%)</w:t>
            </w:r>
          </w:p>
        </w:tc>
      </w:tr>
      <w:tr>
        <w:trPr>
          <w:trHeight w:val="900" w:hRule="atLeast"/>
        </w:trPr>
        <w:tc>
          <w:tcPr>
            <w:tcW w:type="dxa" w:w="26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
            </w:r>
          </w:p>
        </w:tc>
        <w:tc>
          <w:tcPr>
            <w:tcW w:type="dxa" w:w="7048"/>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
            </w:r>
          </w:p>
        </w:tc>
      </w:tr>
      <w:tr>
        <w:trPr>
          <w:trHeight w:val="900" w:hRule="atLeast"/>
        </w:trPr>
        <w:tc>
          <w:tcPr>
            <w:tcW w:type="dxa" w:w="26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
            </w:r>
          </w:p>
        </w:tc>
        <w:tc>
          <w:tcPr>
            <w:tcW w:type="dxa" w:w="7048"/>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
            </w:r>
          </w:p>
        </w:tc>
      </w:tr>
      <w:tr>
        <w:trPr>
          <w:trHeight w:val="900" w:hRule="atLeast"/>
        </w:trPr>
        <w:tc>
          <w:tcPr>
            <w:tcW w:type="dxa" w:w="26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
            </w:r>
          </w:p>
        </w:tc>
        <w:tc>
          <w:tcPr>
            <w:tcW w:type="dxa" w:w="7048"/>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
            </w:r>
          </w:p>
        </w:tc>
      </w:tr>
      <w:tr>
        <w:trPr>
          <w:trHeight w:val="900" w:hRule="atLeast"/>
        </w:trPr>
        <w:tc>
          <w:tcPr>
            <w:tcW w:type="dxa" w:w="26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
            </w:r>
          </w:p>
        </w:tc>
        <w:tc>
          <w:tcPr>
            <w:tcW w:type="dxa" w:w="7048"/>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
            </w:r>
          </w:p>
        </w:tc>
      </w:tr>
    </w:tbl>
    <w:p>
      <w:pPr>
        <w:spacing w:after="100"/>
      </w:pPr>
      <w:r>
        <w:rPr>
          <w:rFonts w:ascii="Calibri" w:cs="Calibri" w:eastAsia="Calibri" w:hAnsi="Calibri"/>
          <w:b w:val="false"/>
          <w:bCs w:val="false"/>
          <w:i/>
          <w:iCs/>
          <w:color w:val="6B7280"/>
          <w:sz w:val="18"/>
          <w:szCs w:val="18"/>
        </w:rPr>
        <w:t xml:space="preserve">The 25/75 split describes the approximate width of each writing column (label, not a fixed track).</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60"/>
              <w:left w:type="dxa" w:w="110"/>
              <w:bottom w:type="dxa" w:w="60"/>
              <w:right w:type="dxa" w:w="110"/>
            </w:tcMar>
          </w:tcPr>
          <w:p>
            <w:pPr>
              <w:spacing w:after="0"/>
            </w:pPr>
            <w:r>
              <w:rPr>
                <w:rFonts w:ascii="Calibri" w:cs="Calibri" w:eastAsia="Calibri" w:hAnsi="Calibri"/>
                <w:b/>
                <w:bCs/>
                <w:i w:val="false"/>
                <w:iCs w:val="false"/>
                <w:color w:val="1B2A4A"/>
                <w:sz w:val="21"/>
                <w:szCs w:val="21"/>
              </w:rPr>
              <w:t xml:space="preserve">Key terms to list</w:t>
            </w:r>
          </w:p>
        </w:tc>
      </w:tr>
      <w:tr>
        <w:trPr>
          <w:trHeight w:val="420" w:hRule="atLeast"/>
        </w:trPr>
        <w:tc>
          <w:tcPr>
            <w:tcW w:type="dxa" w:w="9648"/>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60"/>
              <w:left w:type="dxa" w:w="110"/>
              <w:bottom w:type="dxa" w:w="60"/>
              <w:right w:type="dxa" w:w="110"/>
            </w:tcMar>
          </w:tcPr>
          <w:p>
            <w:pPr>
              <w:spacing w:after="0"/>
            </w:pPr>
            <w:r>
              <w:rPr>
                <w:rFonts w:ascii="Calibri" w:cs="Calibri" w:eastAsia="Calibri" w:hAnsi="Calibri"/>
                <w:b/>
                <w:bCs/>
                <w:i w:val="false"/>
                <w:iCs w:val="false"/>
                <w:color w:val="1B2A4A"/>
                <w:sz w:val="21"/>
                <w:szCs w:val="21"/>
              </w:rPr>
              <w:t xml:space="preserve">Summary — In your own words (2–3 sentences)</w:t>
            </w:r>
          </w:p>
        </w:tc>
      </w:tr>
      <w:tr>
        <w:trPr>
          <w:trHeight w:val="560" w:hRule="atLeast"/>
        </w:trPr>
        <w:tc>
          <w:tcPr>
            <w:tcW w:type="dxa" w:w="9648"/>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
            </w:r>
          </w:p>
        </w:tc>
      </w:tr>
      <w:tr>
        <w:trPr>
          <w:trHeight w:val="560" w:hRule="atLeast"/>
        </w:trPr>
        <w:tc>
          <w:tcPr>
            <w:tcW w:type="dxa" w:w="9648"/>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60"/>
              <w:left w:type="dxa" w:w="110"/>
              <w:bottom w:type="dxa" w:w="60"/>
              <w:right w:type="dxa" w:w="110"/>
            </w:tcMar>
          </w:tcPr>
          <w:p>
            <w:pPr>
              <w:spacing w:after="0"/>
            </w:pPr>
            <w:r>
              <w:rPr>
                <w:rFonts w:ascii="Calibri" w:cs="Calibri" w:eastAsia="Calibri" w:hAnsi="Calibri"/>
                <w:b/>
                <w:bCs/>
                <w:i w:val="false"/>
                <w:iCs w:val="false"/>
                <w:color w:val="1B2A4A"/>
                <w:sz w:val="21"/>
                <w:szCs w:val="21"/>
              </w:rPr>
              <w:t xml:space="preserve">My 12–15 word headline</w:t>
            </w:r>
          </w:p>
        </w:tc>
      </w:tr>
      <w:tr>
        <w:trPr>
          <w:trHeight w:val="460" w:hRule="atLeast"/>
        </w:trPr>
        <w:tc>
          <w:tcPr>
            <w:tcW w:type="dxa" w:w="9648"/>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
            </w:r>
          </w:p>
        </w:tc>
      </w:tr>
    </w:tbl>
    <w:p>
      <w:pPr>
        <w:spacing w:after="100"/>
      </w:pPr>
      <w:r>
        <w:rPr>
          <w:rFonts w:ascii="Calibri" w:cs="Calibri" w:eastAsia="Calibri" w:hAnsi="Calibri"/>
          <w:b w:val="false"/>
          <w:bCs w:val="false"/>
          <w:i/>
          <w:iCs/>
          <w:color w:val="6B7280"/>
          <w:sz w:val="18"/>
          <w:szCs w:val="18"/>
        </w:rPr>
        <w:t xml:space="preserve">Print duplex: the Guided or Light Support for these notes goes on the reverse of this page.</w:t>
      </w:r>
    </w:p>
    <w:p>
      <w:r>
        <w:br w:type="page"/>
      </w:r>
    </w:p>
    <w:p>
      <w:pPr>
        <w:pStyle w:val="Heading2"/>
        <w:keepNext/>
        <w:spacing w:after="90" w:before="150"/>
      </w:pPr>
      <w:r>
        <w:rPr>
          <w:rFonts w:ascii="Calibri" w:cs="Calibri" w:eastAsia="Calibri" w:hAnsi="Calibri"/>
          <w:b/>
          <w:bCs/>
          <w:i w:val="false"/>
          <w:iCs w:val="false"/>
          <w:color w:val="1B2A4A"/>
          <w:sz w:val="28"/>
          <w:szCs w:val="28"/>
        </w:rPr>
        <w:t xml:space="preserve">Blank Vocabulary Studio — Frayer (printable)</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60"/>
              <w:left w:type="dxa" w:w="110"/>
              <w:bottom w:type="dxa" w:w="60"/>
              <w:right w:type="dxa" w:w="110"/>
            </w:tcMar>
          </w:tcPr>
          <w:p>
            <w:pPr>
              <w:spacing w:after="60"/>
            </w:pPr>
            <w:r>
              <w:rPr>
                <w:rFonts w:ascii="Calibri" w:cs="Calibri" w:eastAsia="Calibri" w:hAnsi="Calibri"/>
                <w:b/>
                <w:bCs/>
                <w:i w:val="false"/>
                <w:iCs w:val="false"/>
                <w:color w:val="1B2A4A"/>
                <w:sz w:val="21"/>
                <w:szCs w:val="21"/>
              </w:rPr>
              <w:t xml:space="preserve">RESPONSE CHOICE</w:t>
            </w:r>
          </w:p>
          <w:p>
            <w:pPr>
              <w:spacing w:after="40"/>
            </w:pPr>
            <w:r>
              <w:rPr>
                <w:rFonts w:ascii="Calibri" w:cs="Calibri" w:eastAsia="Calibri" w:hAnsi="Calibri"/>
                <w:b w:val="false"/>
                <w:bCs w:val="false"/>
                <w:i w:val="false"/>
                <w:iCs w:val="false"/>
                <w:color w:val="1A1A1A"/>
                <w:sz w:val="22"/>
                <w:szCs w:val="22"/>
              </w:rPr>
              <w:t xml:space="preserve">Complete the studio by writing, speaking, or diagramming.</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1B2A4A" w:color="auto" w:val="clear"/>
            <w:tcMar>
              <w:top w:type="dxa" w:w="60"/>
              <w:left w:type="dxa" w:w="110"/>
              <w:bottom w:type="dxa" w:w="60"/>
              <w:right w:type="dxa" w:w="110"/>
            </w:tcMar>
          </w:tcPr>
          <w:p>
            <w:pPr>
              <w:spacing w:after="0"/>
            </w:pPr>
            <w:r>
              <w:rPr>
                <w:rFonts w:ascii="Calibri" w:cs="Calibri" w:eastAsia="Calibri" w:hAnsi="Calibri"/>
                <w:b/>
                <w:bCs/>
                <w:i w:val="false"/>
                <w:iCs w:val="false"/>
                <w:color w:val="C89B3C"/>
                <w:sz w:val="16"/>
                <w:szCs w:val="16"/>
              </w:rPr>
              <w:t xml:space="preserve">PRIORITY TERM</w:t>
            </w:r>
            <w:r>
              <w:rPr>
                <w:rFonts w:ascii="Calibri" w:cs="Calibri" w:eastAsia="Calibri" w:hAnsi="Calibri"/>
                <w:b/>
                <w:bCs/>
                <w:i w:val="false"/>
                <w:iCs w:val="false"/>
                <w:color w:val="FFFFFF"/>
                <w:sz w:val="24"/>
                <w:szCs w:val="24"/>
              </w:rPr>
              <w:t xml:space="preserve">     __________________________     ES: __________________</w:t>
            </w:r>
          </w:p>
        </w:tc>
      </w:tr>
    </w:tbl>
    <w:p>
      <w:pPr>
        <w:spacing w:after="100"/>
      </w:pPr>
      <w:r>
        <w:rPr>
          <w:rFonts w:ascii="Calibri" w:cs="Calibri" w:eastAsia="Calibri" w:hAnsi="Calibri"/>
          <w:b w:val="false"/>
          <w:bCs w:val="false"/>
          <w:i w:val="false"/>
          <w:iCs w:val="false"/>
          <w:color w:val="1A1A1A"/>
          <w:sz w:val="20"/>
          <w:szCs w:val="20"/>
        </w:rPr>
        <w:t xml:space="preserve">Word-bank meaning to build on: ______________________________________________________________</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4824"/>
        <w:gridCol w:w="4824"/>
      </w:tblGrid>
      <w:tr>
        <w:trPr>
          <w:tblHeader/>
        </w:trPr>
        <w:tc>
          <w:tcPr>
            <w:tcW w:type="dxa" w:w="4824"/>
            <w:tcBorders>
              <w:top w:val="single" w:color="D9D5C8" w:sz="4"/>
              <w:left w:val="single" w:color="D9D5C8" w:sz="4"/>
              <w:bottom w:val="single" w:color="D9D5C8" w:sz="4"/>
              <w:right w:val="single" w:color="D9D5C8" w:sz="4"/>
            </w:tcBorders>
            <w:shd w:fill="F7F5EF" w:color="auto" w:val="clear"/>
            <w:tcMar>
              <w:top w:type="dxa" w:w="60"/>
              <w:left w:type="dxa" w:w="110"/>
              <w:bottom w:type="dxa" w:w="60"/>
              <w:right w:type="dxa" w:w="110"/>
            </w:tcMar>
          </w:tcPr>
          <w:p>
            <w:pPr>
              <w:spacing w:after="0"/>
            </w:pPr>
            <w:r>
              <w:rPr>
                <w:rFonts w:ascii="Calibri" w:cs="Calibri" w:eastAsia="Calibri" w:hAnsi="Calibri"/>
                <w:b/>
                <w:bCs/>
                <w:i w:val="false"/>
                <w:iCs w:val="false"/>
                <w:color w:val="1B2A4A"/>
                <w:sz w:val="18"/>
                <w:szCs w:val="18"/>
              </w:rPr>
              <w:t xml:space="preserve">Definition (in your own words)</w:t>
            </w:r>
          </w:p>
        </w:tc>
        <w:tc>
          <w:tcPr>
            <w:tcW w:type="dxa" w:w="4824"/>
            <w:tcBorders>
              <w:top w:val="single" w:color="D9D5C8" w:sz="4"/>
              <w:left w:val="single" w:color="D9D5C8" w:sz="4"/>
              <w:bottom w:val="single" w:color="D9D5C8" w:sz="4"/>
              <w:right w:val="single" w:color="D9D5C8" w:sz="4"/>
            </w:tcBorders>
            <w:shd w:fill="1B2A4A" w:color="auto" w:val="clear"/>
            <w:tcMar>
              <w:top w:type="dxa" w:w="60"/>
              <w:left w:type="dxa" w:w="110"/>
              <w:bottom w:type="dxa" w:w="60"/>
              <w:right w:type="dxa" w:w="110"/>
            </w:tcMar>
          </w:tcPr>
          <w:p>
            <w:pPr>
              <w:spacing w:after="0"/>
            </w:pPr>
            <w:r>
              <w:rPr>
                <w:rFonts w:ascii="Calibri" w:cs="Calibri" w:eastAsia="Calibri" w:hAnsi="Calibri"/>
                <w:b/>
                <w:bCs/>
                <w:i w:val="false"/>
                <w:iCs w:val="false"/>
                <w:color w:val="FFFFFF"/>
                <w:sz w:val="18"/>
                <w:szCs w:val="18"/>
              </w:rPr>
              <w:t xml:space="preserve">Characteristics</w:t>
            </w:r>
          </w:p>
        </w:tc>
      </w:tr>
      <w:tr>
        <w:trPr>
          <w:trHeight w:val="900" w:hRule="atLeast"/>
        </w:trPr>
        <w:tc>
          <w:tcPr>
            <w:tcW w:type="dxa" w:w="4824"/>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
            </w:r>
          </w:p>
        </w:tc>
        <w:tc>
          <w:tcPr>
            <w:tcW w:type="dxa" w:w="4824"/>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
            </w:r>
          </w:p>
        </w:tc>
      </w:tr>
      <w:tr>
        <w:trPr>
          <w:trHeight w:val="900" w:hRule="atLeast"/>
        </w:trPr>
        <w:tc>
          <w:tcPr>
            <w:tcW w:type="dxa" w:w="4824"/>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bCs/>
                <w:i w:val="false"/>
                <w:iCs w:val="false"/>
                <w:color w:val="1A1A1A"/>
                <w:sz w:val="20"/>
                <w:szCs w:val="20"/>
              </w:rPr>
              <w:t xml:space="preserve">Examples</w:t>
            </w:r>
          </w:p>
        </w:tc>
        <w:tc>
          <w:tcPr>
            <w:tcW w:type="dxa" w:w="4824"/>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Non-examples</w:t>
            </w:r>
          </w:p>
        </w:tc>
      </w:tr>
      <w:tr>
        <w:trPr>
          <w:trHeight w:val="900" w:hRule="atLeast"/>
        </w:trPr>
        <w:tc>
          <w:tcPr>
            <w:tcW w:type="dxa" w:w="4824"/>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
            </w:r>
          </w:p>
        </w:tc>
        <w:tc>
          <w:tcPr>
            <w:tcW w:type="dxa" w:w="4824"/>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60"/>
              <w:left w:type="dxa" w:w="110"/>
              <w:bottom w:type="dxa" w:w="60"/>
              <w:right w:type="dxa" w:w="110"/>
            </w:tcMar>
          </w:tcPr>
          <w:p>
            <w:pPr>
              <w:spacing w:after="0"/>
            </w:pPr>
            <w:r>
              <w:rPr>
                <w:rFonts w:ascii="Calibri" w:cs="Calibri" w:eastAsia="Calibri" w:hAnsi="Calibri"/>
                <w:b/>
                <w:bCs/>
                <w:i w:val="false"/>
                <w:iCs w:val="false"/>
                <w:color w:val="1B2A4A"/>
                <w:sz w:val="21"/>
                <w:szCs w:val="21"/>
              </w:rPr>
              <w:t xml:space="preserve">Use it to explain — write one sentence that uses the term</w:t>
            </w:r>
          </w:p>
        </w:tc>
      </w:tr>
      <w:tr>
        <w:trPr>
          <w:trHeight w:val="520" w:hRule="atLeast"/>
        </w:trPr>
        <w:tc>
          <w:tcPr>
            <w:tcW w:type="dxa" w:w="9648"/>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
            </w:r>
          </w:p>
        </w:tc>
      </w:tr>
    </w:tbl>
    <w:p>
      <w:r>
        <w:br w:type="page"/>
      </w:r>
    </w:p>
    <w:p>
      <w:pPr>
        <w:pStyle w:val="Heading1"/>
        <w:keepNext/>
        <w:spacing w:after="90" w:before="220"/>
      </w:pPr>
      <w:r>
        <w:rPr>
          <w:rFonts w:ascii="Calibri" w:cs="Calibri" w:eastAsia="Calibri" w:hAnsi="Calibri"/>
          <w:b/>
          <w:bCs/>
          <w:i w:val="false"/>
          <w:iCs w:val="false"/>
          <w:color w:val="1B2A4A"/>
          <w:sz w:val="36"/>
          <w:szCs w:val="36"/>
        </w:rPr>
        <w:t xml:space="preserve">13. Social Studies Practices (SSP) Crosswalk</w:t>
      </w:r>
    </w:p>
    <w:p>
      <w:pPr>
        <w:spacing w:after="100"/>
      </w:pPr>
      <w:r>
        <w:rPr>
          <w:rFonts w:ascii="Calibri" w:cs="Calibri" w:eastAsia="Calibri" w:hAnsi="Calibri"/>
          <w:b w:val="false"/>
          <w:bCs w:val="false"/>
          <w:i w:val="false"/>
          <w:iCs w:val="false"/>
          <w:color w:val="1A1A1A"/>
          <w:sz w:val="22"/>
          <w:szCs w:val="22"/>
        </w:rPr>
        <w:t xml:space="preserve">Each activity in the seven-activity cycle builds specific Tennessee Social Studies Practices. Every SSP.01–SSP.06 is covered within each standard’s cycle.</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200"/>
        <w:gridCol w:w="1900"/>
        <w:gridCol w:w="4548"/>
      </w:tblGrid>
      <w:tr>
        <w:trPr>
          <w:tblHeader/>
        </w:trPr>
        <w:tc>
          <w:tcPr>
            <w:tcW w:type="dxa" w:w="3200"/>
            <w:tcBorders>
              <w:top w:val="single" w:color="D9D5C8" w:sz="4"/>
              <w:left w:val="single" w:color="D9D5C8" w:sz="4"/>
              <w:bottom w:val="single" w:color="D9D5C8" w:sz="4"/>
              <w:right w:val="single" w:color="D9D5C8" w:sz="4"/>
            </w:tcBorders>
            <w:shd w:fill="1B2A4A" w:color="auto" w:val="clear"/>
            <w:tcMar>
              <w:top w:type="dxa" w:w="60"/>
              <w:left w:type="dxa" w:w="110"/>
              <w:bottom w:type="dxa" w:w="60"/>
              <w:right w:type="dxa" w:w="110"/>
            </w:tcMar>
          </w:tcPr>
          <w:p>
            <w:pPr>
              <w:spacing w:after="0"/>
            </w:pPr>
            <w:r>
              <w:rPr>
                <w:rFonts w:ascii="Calibri" w:cs="Calibri" w:eastAsia="Calibri" w:hAnsi="Calibri"/>
                <w:b/>
                <w:bCs/>
                <w:i w:val="false"/>
                <w:iCs w:val="false"/>
                <w:color w:val="FFFFFF"/>
                <w:sz w:val="19"/>
                <w:szCs w:val="19"/>
              </w:rPr>
              <w:t xml:space="preserve">Activity</w:t>
            </w:r>
          </w:p>
        </w:tc>
        <w:tc>
          <w:tcPr>
            <w:tcW w:type="dxa" w:w="1900"/>
            <w:tcBorders>
              <w:top w:val="single" w:color="D9D5C8" w:sz="4"/>
              <w:left w:val="single" w:color="D9D5C8" w:sz="4"/>
              <w:bottom w:val="single" w:color="D9D5C8" w:sz="4"/>
              <w:right w:val="single" w:color="D9D5C8" w:sz="4"/>
            </w:tcBorders>
            <w:shd w:fill="1B2A4A" w:color="auto" w:val="clear"/>
            <w:tcMar>
              <w:top w:type="dxa" w:w="60"/>
              <w:left w:type="dxa" w:w="110"/>
              <w:bottom w:type="dxa" w:w="60"/>
              <w:right w:type="dxa" w:w="110"/>
            </w:tcMar>
          </w:tcPr>
          <w:p>
            <w:pPr>
              <w:spacing w:after="0"/>
            </w:pPr>
            <w:r>
              <w:rPr>
                <w:rFonts w:ascii="Calibri" w:cs="Calibri" w:eastAsia="Calibri" w:hAnsi="Calibri"/>
                <w:b/>
                <w:bCs/>
                <w:i w:val="false"/>
                <w:iCs w:val="false"/>
                <w:color w:val="FFFFFF"/>
                <w:sz w:val="19"/>
                <w:szCs w:val="19"/>
              </w:rPr>
              <w:t xml:space="preserve">Builds</w:t>
            </w:r>
          </w:p>
        </w:tc>
        <w:tc>
          <w:tcPr>
            <w:tcW w:type="dxa" w:w="4548"/>
            <w:tcBorders>
              <w:top w:val="single" w:color="D9D5C8" w:sz="4"/>
              <w:left w:val="single" w:color="D9D5C8" w:sz="4"/>
              <w:bottom w:val="single" w:color="D9D5C8" w:sz="4"/>
              <w:right w:val="single" w:color="D9D5C8" w:sz="4"/>
            </w:tcBorders>
            <w:shd w:fill="1B2A4A" w:color="auto" w:val="clear"/>
            <w:tcMar>
              <w:top w:type="dxa" w:w="60"/>
              <w:left w:type="dxa" w:w="110"/>
              <w:bottom w:type="dxa" w:w="60"/>
              <w:right w:type="dxa" w:w="110"/>
            </w:tcMar>
          </w:tcPr>
          <w:p>
            <w:pPr>
              <w:spacing w:after="0"/>
            </w:pPr>
            <w:r>
              <w:rPr>
                <w:rFonts w:ascii="Calibri" w:cs="Calibri" w:eastAsia="Calibri" w:hAnsi="Calibri"/>
                <w:b/>
                <w:bCs/>
                <w:i w:val="false"/>
                <w:iCs w:val="false"/>
                <w:color w:val="FFFFFF"/>
                <w:sz w:val="19"/>
                <w:szCs w:val="19"/>
              </w:rPr>
              <w:t xml:space="preserve">Practice</w:t>
            </w:r>
          </w:p>
        </w:tc>
      </w:tr>
      <w:tr>
        <w:tc>
          <w:tcPr>
            <w:tcW w:type="dxa" w:w="32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Cornell Notes (Activity 3)</w:t>
            </w:r>
          </w:p>
        </w:tc>
        <w:tc>
          <w:tcPr>
            <w:tcW w:type="dxa" w:w="19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SSP.05</w:t>
            </w:r>
          </w:p>
        </w:tc>
        <w:tc>
          <w:tcPr>
            <w:tcW w:type="dxa" w:w="4548"/>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Develop historical awareness — sequence events, recognize cause &amp; effect.</w:t>
            </w:r>
          </w:p>
        </w:tc>
      </w:tr>
      <w:tr>
        <w:tc>
          <w:tcPr>
            <w:tcW w:type="dxa" w:w="32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Close Read (Activity 4)</w:t>
            </w:r>
          </w:p>
        </w:tc>
        <w:tc>
          <w:tcPr>
            <w:tcW w:type="dxa" w:w="19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SSP.03 · SSP.05</w:t>
            </w:r>
          </w:p>
        </w:tc>
        <w:tc>
          <w:tcPr>
            <w:tcW w:type="dxa" w:w="4548"/>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Synthesize data from multiple sources; historical awareness.</w:t>
            </w:r>
          </w:p>
        </w:tc>
      </w:tr>
      <w:tr>
        <w:tc>
          <w:tcPr>
            <w:tcW w:type="dxa" w:w="32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Primary Source / HIPPO (Activity 5)</w:t>
            </w:r>
          </w:p>
        </w:tc>
        <w:tc>
          <w:tcPr>
            <w:tcW w:type="dxa" w:w="19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SSP.01 · SSP.02</w:t>
            </w:r>
          </w:p>
        </w:tc>
        <w:tc>
          <w:tcPr>
            <w:tcW w:type="dxa" w:w="4548"/>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Gather, analyze, and evaluate sources; critically examine a source for point of view, bias, context.</w:t>
            </w:r>
          </w:p>
        </w:tc>
      </w:tr>
      <w:tr>
        <w:tc>
          <w:tcPr>
            <w:tcW w:type="dxa" w:w="32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Geographer’s Lens (G-tagged standards)</w:t>
            </w:r>
          </w:p>
        </w:tc>
        <w:tc>
          <w:tcPr>
            <w:tcW w:type="dxa" w:w="19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SSP.06</w:t>
            </w:r>
          </w:p>
        </w:tc>
        <w:tc>
          <w:tcPr>
            <w:tcW w:type="dxa" w:w="4548"/>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Analyze relationships among geography, economics, and society across time and place.</w:t>
            </w:r>
          </w:p>
        </w:tc>
      </w:tr>
      <w:tr>
        <w:tc>
          <w:tcPr>
            <w:tcW w:type="dxa" w:w="32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Practice Quiz (Activity 6)</w:t>
            </w:r>
          </w:p>
        </w:tc>
        <w:tc>
          <w:tcPr>
            <w:tcW w:type="dxa" w:w="19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SSP.01–06 (assessed)</w:t>
            </w:r>
          </w:p>
        </w:tc>
        <w:tc>
          <w:tcPr>
            <w:tcW w:type="dxa" w:w="4548"/>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Applied across items.</w:t>
            </w:r>
          </w:p>
        </w:tc>
      </w:tr>
      <w:tr>
        <w:tc>
          <w:tcPr>
            <w:tcW w:type="dxa" w:w="32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CER (Activity 7)</w:t>
            </w:r>
          </w:p>
        </w:tc>
        <w:tc>
          <w:tcPr>
            <w:tcW w:type="dxa" w:w="19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SSP.04</w:t>
            </w:r>
          </w:p>
        </w:tc>
        <w:tc>
          <w:tcPr>
            <w:tcW w:type="dxa" w:w="4548"/>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Construct and communicate arguments citing supporting evidence.</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60"/>
              <w:left w:type="dxa" w:w="110"/>
              <w:bottom w:type="dxa" w:w="60"/>
              <w:right w:type="dxa" w:w="110"/>
            </w:tcMar>
          </w:tcPr>
          <w:p>
            <w:pPr>
              <w:spacing w:after="60"/>
            </w:pPr>
            <w:r>
              <w:rPr>
                <w:rFonts w:ascii="Calibri" w:cs="Calibri" w:eastAsia="Calibri" w:hAnsi="Calibri"/>
                <w:b/>
                <w:bCs/>
                <w:i w:val="false"/>
                <w:iCs w:val="false"/>
                <w:color w:val="1B2A4A"/>
                <w:sz w:val="21"/>
                <w:szCs w:val="21"/>
              </w:rPr>
              <w:t xml:space="preserve">Coverage</w:t>
            </w:r>
          </w:p>
          <w:p>
            <w:pPr>
              <w:spacing w:after="40"/>
            </w:pPr>
            <w:r>
              <w:rPr>
                <w:rFonts w:ascii="Calibri" w:cs="Calibri" w:eastAsia="Calibri" w:hAnsi="Calibri"/>
                <w:b w:val="false"/>
                <w:bCs w:val="false"/>
                <w:i w:val="false"/>
                <w:iCs w:val="false"/>
                <w:color w:val="1A1A1A"/>
                <w:sz w:val="22"/>
                <w:szCs w:val="22"/>
              </w:rPr>
              <w:t xml:space="preserve">All six practices (SSP.01–SSP.06) are built within every standard’s cycle.</w:t>
            </w:r>
          </w:p>
        </w:tc>
      </w:tr>
    </w:tbl>
    <w:p>
      <w:r>
        <w:br w:type="page"/>
      </w:r>
    </w:p>
    <w:p>
      <w:pPr>
        <w:pStyle w:val="Heading1"/>
        <w:keepNext/>
        <w:spacing w:after="90" w:before="220"/>
      </w:pPr>
      <w:r>
        <w:rPr>
          <w:rFonts w:ascii="Calibri" w:cs="Calibri" w:eastAsia="Calibri" w:hAnsi="Calibri"/>
          <w:b/>
          <w:bCs/>
          <w:i w:val="false"/>
          <w:iCs w:val="false"/>
          <w:color w:val="1B2A4A"/>
          <w:sz w:val="36"/>
          <w:szCs w:val="36"/>
        </w:rPr>
        <w:t xml:space="preserve">14. Standard Dimension Coverage (C · E · G · H · P · T · TCA)</w:t>
      </w:r>
    </w:p>
    <w:p>
      <w:pPr>
        <w:spacing w:after="100"/>
      </w:pPr>
      <w:r>
        <w:rPr>
          <w:rFonts w:ascii="Calibri" w:cs="Calibri" w:eastAsia="Calibri" w:hAnsi="Calibri"/>
          <w:b w:val="false"/>
          <w:bCs w:val="false"/>
          <w:i w:val="false"/>
          <w:iCs w:val="false"/>
          <w:color w:val="1A1A1A"/>
          <w:sz w:val="22"/>
          <w:szCs w:val="22"/>
        </w:rPr>
        <w:t xml:space="preserve">Each TN standard carries dimension tags. This crosswalk shows where each dimension is taught within the standard — evidence of full coverage for adoption review. Students see these as plain-language “lenses” on each standard’s opening page.</w:t>
      </w:r>
    </w:p>
    <w:p>
      <w:pPr>
        <w:pStyle w:val="Heading3"/>
        <w:keepNext/>
        <w:spacing w:after="90" w:before="150"/>
      </w:pPr>
      <w:r>
        <w:rPr>
          <w:rFonts w:ascii="Calibri" w:cs="Calibri" w:eastAsia="Calibri" w:hAnsi="Calibri"/>
          <w:b/>
          <w:bCs/>
          <w:i w:val="false"/>
          <w:iCs w:val="false"/>
          <w:color w:val="B22234"/>
          <w:sz w:val="24"/>
          <w:szCs w:val="24"/>
        </w:rPr>
        <w:t xml:space="preserve">US.39 — Causes of the Great Depression</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800"/>
        <w:gridCol w:w="6848"/>
      </w:tblGrid>
      <w:tr>
        <w:trPr>
          <w:tblHeader/>
        </w:trPr>
        <w:tc>
          <w:tcPr>
            <w:tcW w:type="dxa" w:w="2800"/>
            <w:tcBorders>
              <w:top w:val="single" w:color="D9D5C8" w:sz="4"/>
              <w:left w:val="single" w:color="D9D5C8" w:sz="4"/>
              <w:bottom w:val="single" w:color="D9D5C8" w:sz="4"/>
              <w:right w:val="single" w:color="D9D5C8" w:sz="4"/>
            </w:tcBorders>
            <w:shd w:fill="1B2A4A" w:color="auto" w:val="clear"/>
            <w:tcMar>
              <w:top w:type="dxa" w:w="60"/>
              <w:left w:type="dxa" w:w="110"/>
              <w:bottom w:type="dxa" w:w="60"/>
              <w:right w:type="dxa" w:w="110"/>
            </w:tcMar>
          </w:tcPr>
          <w:p>
            <w:pPr>
              <w:spacing w:after="0"/>
            </w:pPr>
            <w:r>
              <w:rPr>
                <w:rFonts w:ascii="Calibri" w:cs="Calibri" w:eastAsia="Calibri" w:hAnsi="Calibri"/>
                <w:b/>
                <w:bCs/>
                <w:i w:val="false"/>
                <w:iCs w:val="false"/>
                <w:color w:val="FFFFFF"/>
                <w:sz w:val="19"/>
                <w:szCs w:val="19"/>
              </w:rPr>
              <w:t xml:space="preserve">Dimension</w:t>
            </w:r>
          </w:p>
        </w:tc>
        <w:tc>
          <w:tcPr>
            <w:tcW w:type="dxa" w:w="6848"/>
            <w:tcBorders>
              <w:top w:val="single" w:color="D9D5C8" w:sz="4"/>
              <w:left w:val="single" w:color="D9D5C8" w:sz="4"/>
              <w:bottom w:val="single" w:color="D9D5C8" w:sz="4"/>
              <w:right w:val="single" w:color="D9D5C8" w:sz="4"/>
            </w:tcBorders>
            <w:shd w:fill="1B2A4A" w:color="auto" w:val="clear"/>
            <w:tcMar>
              <w:top w:type="dxa" w:w="60"/>
              <w:left w:type="dxa" w:w="110"/>
              <w:bottom w:type="dxa" w:w="60"/>
              <w:right w:type="dxa" w:w="110"/>
            </w:tcMar>
          </w:tcPr>
          <w:p>
            <w:pPr>
              <w:spacing w:after="0"/>
            </w:pPr>
            <w:r>
              <w:rPr>
                <w:rFonts w:ascii="Calibri" w:cs="Calibri" w:eastAsia="Calibri" w:hAnsi="Calibri"/>
                <w:b/>
                <w:bCs/>
                <w:i w:val="false"/>
                <w:iCs w:val="false"/>
                <w:color w:val="FFFFFF"/>
                <w:sz w:val="19"/>
                <w:szCs w:val="19"/>
              </w:rPr>
              <w:t xml:space="preserve">Where it is taught in this standard</w:t>
            </w:r>
          </w:p>
        </w:tc>
      </w:tr>
      <w:tr>
        <w:tc>
          <w:tcPr>
            <w:tcW w:type="dxa" w:w="28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Economics (E)</w:t>
            </w:r>
          </w:p>
        </w:tc>
        <w:tc>
          <w:tcPr>
            <w:tcW w:type="dxa" w:w="6848"/>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Economics lens on Causes of the Great Depression: Bank runs occurred when panicked depositors withdrew money simultaneously, causing banks to collapse. With no …</w:t>
            </w:r>
          </w:p>
        </w:tc>
      </w:tr>
      <w:tr>
        <w:tc>
          <w:tcPr>
            <w:tcW w:type="dxa" w:w="28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History (H)</w:t>
            </w:r>
          </w:p>
        </w:tc>
        <w:tc>
          <w:tcPr>
            <w:tcW w:type="dxa" w:w="6848"/>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History lens on Causes of the Great Depression: Bank runs occurred when panicked depositors withdrew money simultaneously, causing banks to collapse. With no …</w:t>
            </w:r>
          </w:p>
        </w:tc>
      </w:tr>
    </w:tbl>
    <w:p>
      <w:pPr>
        <w:pStyle w:val="Heading3"/>
        <w:keepNext/>
        <w:spacing w:after="90" w:before="150"/>
      </w:pPr>
      <w:r>
        <w:rPr>
          <w:rFonts w:ascii="Calibri" w:cs="Calibri" w:eastAsia="Calibri" w:hAnsi="Calibri"/>
          <w:b/>
          <w:bCs/>
          <w:i w:val="false"/>
          <w:iCs w:val="false"/>
          <w:color w:val="B22234"/>
          <w:sz w:val="24"/>
          <w:szCs w:val="24"/>
        </w:rPr>
        <w:t xml:space="preserve">US.40 — The Dust Bowl</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800"/>
        <w:gridCol w:w="6848"/>
      </w:tblGrid>
      <w:tr>
        <w:trPr>
          <w:tblHeader/>
        </w:trPr>
        <w:tc>
          <w:tcPr>
            <w:tcW w:type="dxa" w:w="2800"/>
            <w:tcBorders>
              <w:top w:val="single" w:color="D9D5C8" w:sz="4"/>
              <w:left w:val="single" w:color="D9D5C8" w:sz="4"/>
              <w:bottom w:val="single" w:color="D9D5C8" w:sz="4"/>
              <w:right w:val="single" w:color="D9D5C8" w:sz="4"/>
            </w:tcBorders>
            <w:shd w:fill="1B2A4A" w:color="auto" w:val="clear"/>
            <w:tcMar>
              <w:top w:type="dxa" w:w="60"/>
              <w:left w:type="dxa" w:w="110"/>
              <w:bottom w:type="dxa" w:w="60"/>
              <w:right w:type="dxa" w:w="110"/>
            </w:tcMar>
          </w:tcPr>
          <w:p>
            <w:pPr>
              <w:spacing w:after="0"/>
            </w:pPr>
            <w:r>
              <w:rPr>
                <w:rFonts w:ascii="Calibri" w:cs="Calibri" w:eastAsia="Calibri" w:hAnsi="Calibri"/>
                <w:b/>
                <w:bCs/>
                <w:i w:val="false"/>
                <w:iCs w:val="false"/>
                <w:color w:val="FFFFFF"/>
                <w:sz w:val="19"/>
                <w:szCs w:val="19"/>
              </w:rPr>
              <w:t xml:space="preserve">Dimension</w:t>
            </w:r>
          </w:p>
        </w:tc>
        <w:tc>
          <w:tcPr>
            <w:tcW w:type="dxa" w:w="6848"/>
            <w:tcBorders>
              <w:top w:val="single" w:color="D9D5C8" w:sz="4"/>
              <w:left w:val="single" w:color="D9D5C8" w:sz="4"/>
              <w:bottom w:val="single" w:color="D9D5C8" w:sz="4"/>
              <w:right w:val="single" w:color="D9D5C8" w:sz="4"/>
            </w:tcBorders>
            <w:shd w:fill="1B2A4A" w:color="auto" w:val="clear"/>
            <w:tcMar>
              <w:top w:type="dxa" w:w="60"/>
              <w:left w:type="dxa" w:w="110"/>
              <w:bottom w:type="dxa" w:w="60"/>
              <w:right w:type="dxa" w:w="110"/>
            </w:tcMar>
          </w:tcPr>
          <w:p>
            <w:pPr>
              <w:spacing w:after="0"/>
            </w:pPr>
            <w:r>
              <w:rPr>
                <w:rFonts w:ascii="Calibri" w:cs="Calibri" w:eastAsia="Calibri" w:hAnsi="Calibri"/>
                <w:b/>
                <w:bCs/>
                <w:i w:val="false"/>
                <w:iCs w:val="false"/>
                <w:color w:val="FFFFFF"/>
                <w:sz w:val="19"/>
                <w:szCs w:val="19"/>
              </w:rPr>
              <w:t xml:space="preserve">Where it is taught in this standard</w:t>
            </w:r>
          </w:p>
        </w:tc>
      </w:tr>
      <w:tr>
        <w:tc>
          <w:tcPr>
            <w:tcW w:type="dxa" w:w="28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Geography (G)</w:t>
            </w:r>
          </w:p>
        </w:tc>
        <w:tc>
          <w:tcPr>
            <w:tcW w:type="dxa" w:w="6848"/>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Geography lens on The Dust Bowl: Farmers plowed up native prairie grasses that held soil in place. High wheat prices during WWI encouraged exte…</w:t>
            </w:r>
          </w:p>
        </w:tc>
      </w:tr>
      <w:tr>
        <w:tc>
          <w:tcPr>
            <w:tcW w:type="dxa" w:w="28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Economics (E)</w:t>
            </w:r>
          </w:p>
        </w:tc>
        <w:tc>
          <w:tcPr>
            <w:tcW w:type="dxa" w:w="6848"/>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Economics lens on The Dust Bowl: Farmers plowed up native prairie grasses that held soil in place. High wheat prices during WWI encouraged exte…</w:t>
            </w:r>
          </w:p>
        </w:tc>
      </w:tr>
      <w:tr>
        <w:tc>
          <w:tcPr>
            <w:tcW w:type="dxa" w:w="28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History (H)</w:t>
            </w:r>
          </w:p>
        </w:tc>
        <w:tc>
          <w:tcPr>
            <w:tcW w:type="dxa" w:w="6848"/>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History lens on The Dust Bowl: Farmers plowed up native prairie grasses that held soil in place. High wheat prices during WWI encouraged exte…</w:t>
            </w:r>
          </w:p>
        </w:tc>
      </w:tr>
    </w:tbl>
    <w:p>
      <w:pPr>
        <w:pStyle w:val="Heading3"/>
        <w:keepNext/>
        <w:spacing w:after="90" w:before="150"/>
      </w:pPr>
      <w:r>
        <w:rPr>
          <w:rFonts w:ascii="Calibri" w:cs="Calibri" w:eastAsia="Calibri" w:hAnsi="Calibri"/>
          <w:b/>
          <w:bCs/>
          <w:i w:val="false"/>
          <w:iCs w:val="false"/>
          <w:color w:val="B22234"/>
          <w:sz w:val="24"/>
          <w:szCs w:val="24"/>
        </w:rPr>
        <w:t xml:space="preserve">US.41 — Impact of the Great Depression on the American People</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800"/>
        <w:gridCol w:w="6848"/>
      </w:tblGrid>
      <w:tr>
        <w:trPr>
          <w:tblHeader/>
        </w:trPr>
        <w:tc>
          <w:tcPr>
            <w:tcW w:type="dxa" w:w="2800"/>
            <w:tcBorders>
              <w:top w:val="single" w:color="D9D5C8" w:sz="4"/>
              <w:left w:val="single" w:color="D9D5C8" w:sz="4"/>
              <w:bottom w:val="single" w:color="D9D5C8" w:sz="4"/>
              <w:right w:val="single" w:color="D9D5C8" w:sz="4"/>
            </w:tcBorders>
            <w:shd w:fill="1B2A4A" w:color="auto" w:val="clear"/>
            <w:tcMar>
              <w:top w:type="dxa" w:w="60"/>
              <w:left w:type="dxa" w:w="110"/>
              <w:bottom w:type="dxa" w:w="60"/>
              <w:right w:type="dxa" w:w="110"/>
            </w:tcMar>
          </w:tcPr>
          <w:p>
            <w:pPr>
              <w:spacing w:after="0"/>
            </w:pPr>
            <w:r>
              <w:rPr>
                <w:rFonts w:ascii="Calibri" w:cs="Calibri" w:eastAsia="Calibri" w:hAnsi="Calibri"/>
                <w:b/>
                <w:bCs/>
                <w:i w:val="false"/>
                <w:iCs w:val="false"/>
                <w:color w:val="FFFFFF"/>
                <w:sz w:val="19"/>
                <w:szCs w:val="19"/>
              </w:rPr>
              <w:t xml:space="preserve">Dimension</w:t>
            </w:r>
          </w:p>
        </w:tc>
        <w:tc>
          <w:tcPr>
            <w:tcW w:type="dxa" w:w="6848"/>
            <w:tcBorders>
              <w:top w:val="single" w:color="D9D5C8" w:sz="4"/>
              <w:left w:val="single" w:color="D9D5C8" w:sz="4"/>
              <w:bottom w:val="single" w:color="D9D5C8" w:sz="4"/>
              <w:right w:val="single" w:color="D9D5C8" w:sz="4"/>
            </w:tcBorders>
            <w:shd w:fill="1B2A4A" w:color="auto" w:val="clear"/>
            <w:tcMar>
              <w:top w:type="dxa" w:w="60"/>
              <w:left w:type="dxa" w:w="110"/>
              <w:bottom w:type="dxa" w:w="60"/>
              <w:right w:type="dxa" w:w="110"/>
            </w:tcMar>
          </w:tcPr>
          <w:p>
            <w:pPr>
              <w:spacing w:after="0"/>
            </w:pPr>
            <w:r>
              <w:rPr>
                <w:rFonts w:ascii="Calibri" w:cs="Calibri" w:eastAsia="Calibri" w:hAnsi="Calibri"/>
                <w:b/>
                <w:bCs/>
                <w:i w:val="false"/>
                <w:iCs w:val="false"/>
                <w:color w:val="FFFFFF"/>
                <w:sz w:val="19"/>
                <w:szCs w:val="19"/>
              </w:rPr>
              <w:t xml:space="preserve">Where it is taught in this standard</w:t>
            </w:r>
          </w:p>
        </w:tc>
      </w:tr>
      <w:tr>
        <w:tc>
          <w:tcPr>
            <w:tcW w:type="dxa" w:w="28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Economics (E)</w:t>
            </w:r>
          </w:p>
        </w:tc>
        <w:tc>
          <w:tcPr>
            <w:tcW w:type="dxa" w:w="6848"/>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Economics lens on Impact of the Great Depression on the American People: Unemployment peaked at 25% in 1933, with 12-15 million Americans jobless. Many remained unemployed for 2-3 yea…</w:t>
            </w:r>
          </w:p>
        </w:tc>
      </w:tr>
      <w:tr>
        <w:tc>
          <w:tcPr>
            <w:tcW w:type="dxa" w:w="28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History (H)</w:t>
            </w:r>
          </w:p>
        </w:tc>
        <w:tc>
          <w:tcPr>
            <w:tcW w:type="dxa" w:w="6848"/>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History lens on Impact of the Great Depression on the American People: Unemployment peaked at 25% in 1933, with 12-15 million Americans jobless. Many remained unemployed for 2-3 yea…</w:t>
            </w:r>
          </w:p>
        </w:tc>
      </w:tr>
    </w:tbl>
    <w:p>
      <w:pPr>
        <w:pStyle w:val="Heading3"/>
        <w:keepNext/>
        <w:spacing w:after="90" w:before="150"/>
      </w:pPr>
      <w:r>
        <w:rPr>
          <w:rFonts w:ascii="Calibri" w:cs="Calibri" w:eastAsia="Calibri" w:hAnsi="Calibri"/>
          <w:b/>
          <w:bCs/>
          <w:i w:val="false"/>
          <w:iCs w:val="false"/>
          <w:color w:val="B22234"/>
          <w:sz w:val="24"/>
          <w:szCs w:val="24"/>
        </w:rPr>
        <w:t xml:space="preserve">US.42 — Herbert Hoover's Response</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800"/>
        <w:gridCol w:w="6848"/>
      </w:tblGrid>
      <w:tr>
        <w:trPr>
          <w:tblHeader/>
        </w:trPr>
        <w:tc>
          <w:tcPr>
            <w:tcW w:type="dxa" w:w="2800"/>
            <w:tcBorders>
              <w:top w:val="single" w:color="D9D5C8" w:sz="4"/>
              <w:left w:val="single" w:color="D9D5C8" w:sz="4"/>
              <w:bottom w:val="single" w:color="D9D5C8" w:sz="4"/>
              <w:right w:val="single" w:color="D9D5C8" w:sz="4"/>
            </w:tcBorders>
            <w:shd w:fill="1B2A4A" w:color="auto" w:val="clear"/>
            <w:tcMar>
              <w:top w:type="dxa" w:w="60"/>
              <w:left w:type="dxa" w:w="110"/>
              <w:bottom w:type="dxa" w:w="60"/>
              <w:right w:type="dxa" w:w="110"/>
            </w:tcMar>
          </w:tcPr>
          <w:p>
            <w:pPr>
              <w:spacing w:after="0"/>
            </w:pPr>
            <w:r>
              <w:rPr>
                <w:rFonts w:ascii="Calibri" w:cs="Calibri" w:eastAsia="Calibri" w:hAnsi="Calibri"/>
                <w:b/>
                <w:bCs/>
                <w:i w:val="false"/>
                <w:iCs w:val="false"/>
                <w:color w:val="FFFFFF"/>
                <w:sz w:val="19"/>
                <w:szCs w:val="19"/>
              </w:rPr>
              <w:t xml:space="preserve">Dimension</w:t>
            </w:r>
          </w:p>
        </w:tc>
        <w:tc>
          <w:tcPr>
            <w:tcW w:type="dxa" w:w="6848"/>
            <w:tcBorders>
              <w:top w:val="single" w:color="D9D5C8" w:sz="4"/>
              <w:left w:val="single" w:color="D9D5C8" w:sz="4"/>
              <w:bottom w:val="single" w:color="D9D5C8" w:sz="4"/>
              <w:right w:val="single" w:color="D9D5C8" w:sz="4"/>
            </w:tcBorders>
            <w:shd w:fill="1B2A4A" w:color="auto" w:val="clear"/>
            <w:tcMar>
              <w:top w:type="dxa" w:w="60"/>
              <w:left w:type="dxa" w:w="110"/>
              <w:bottom w:type="dxa" w:w="60"/>
              <w:right w:type="dxa" w:w="110"/>
            </w:tcMar>
          </w:tcPr>
          <w:p>
            <w:pPr>
              <w:spacing w:after="0"/>
            </w:pPr>
            <w:r>
              <w:rPr>
                <w:rFonts w:ascii="Calibri" w:cs="Calibri" w:eastAsia="Calibri" w:hAnsi="Calibri"/>
                <w:b/>
                <w:bCs/>
                <w:i w:val="false"/>
                <w:iCs w:val="false"/>
                <w:color w:val="FFFFFF"/>
                <w:sz w:val="19"/>
                <w:szCs w:val="19"/>
              </w:rPr>
              <w:t xml:space="preserve">Where it is taught in this standard</w:t>
            </w:r>
          </w:p>
        </w:tc>
      </w:tr>
      <w:tr>
        <w:tc>
          <w:tcPr>
            <w:tcW w:type="dxa" w:w="28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Politics/Government (P)</w:t>
            </w:r>
          </w:p>
        </w:tc>
        <w:tc>
          <w:tcPr>
            <w:tcW w:type="dxa" w:w="6848"/>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Politics/Government lens on Herbert Hoover's Response: Hoover believed individuals should solve their own problems without government help, that federal government s…</w:t>
            </w:r>
          </w:p>
        </w:tc>
      </w:tr>
      <w:tr>
        <w:tc>
          <w:tcPr>
            <w:tcW w:type="dxa" w:w="28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Economics (E)</w:t>
            </w:r>
          </w:p>
        </w:tc>
        <w:tc>
          <w:tcPr>
            <w:tcW w:type="dxa" w:w="6848"/>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Economics lens on Herbert Hoover's Response: Hoover believed individuals should solve their own problems without government help, that federal government s…</w:t>
            </w:r>
          </w:p>
        </w:tc>
      </w:tr>
      <w:tr>
        <w:tc>
          <w:tcPr>
            <w:tcW w:type="dxa" w:w="28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History (H)</w:t>
            </w:r>
          </w:p>
        </w:tc>
        <w:tc>
          <w:tcPr>
            <w:tcW w:type="dxa" w:w="6848"/>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History lens on Herbert Hoover's Response: Hoover believed individuals should solve their own problems without government help, that federal government s…</w:t>
            </w:r>
          </w:p>
        </w:tc>
      </w:tr>
    </w:tbl>
    <w:p>
      <w:pPr>
        <w:pStyle w:val="Heading3"/>
        <w:keepNext/>
        <w:spacing w:after="90" w:before="150"/>
      </w:pPr>
      <w:r>
        <w:rPr>
          <w:rFonts w:ascii="Calibri" w:cs="Calibri" w:eastAsia="Calibri" w:hAnsi="Calibri"/>
          <w:b/>
          <w:bCs/>
          <w:i w:val="false"/>
          <w:iCs w:val="false"/>
          <w:color w:val="B22234"/>
          <w:sz w:val="24"/>
          <w:szCs w:val="24"/>
        </w:rPr>
        <w:t xml:space="preserve">US.43 — FDR's New Deal Programs</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800"/>
        <w:gridCol w:w="6848"/>
      </w:tblGrid>
      <w:tr>
        <w:trPr>
          <w:tblHeader/>
        </w:trPr>
        <w:tc>
          <w:tcPr>
            <w:tcW w:type="dxa" w:w="2800"/>
            <w:tcBorders>
              <w:top w:val="single" w:color="D9D5C8" w:sz="4"/>
              <w:left w:val="single" w:color="D9D5C8" w:sz="4"/>
              <w:bottom w:val="single" w:color="D9D5C8" w:sz="4"/>
              <w:right w:val="single" w:color="D9D5C8" w:sz="4"/>
            </w:tcBorders>
            <w:shd w:fill="1B2A4A" w:color="auto" w:val="clear"/>
            <w:tcMar>
              <w:top w:type="dxa" w:w="60"/>
              <w:left w:type="dxa" w:w="110"/>
              <w:bottom w:type="dxa" w:w="60"/>
              <w:right w:type="dxa" w:w="110"/>
            </w:tcMar>
          </w:tcPr>
          <w:p>
            <w:pPr>
              <w:spacing w:after="0"/>
            </w:pPr>
            <w:r>
              <w:rPr>
                <w:rFonts w:ascii="Calibri" w:cs="Calibri" w:eastAsia="Calibri" w:hAnsi="Calibri"/>
                <w:b/>
                <w:bCs/>
                <w:i w:val="false"/>
                <w:iCs w:val="false"/>
                <w:color w:val="FFFFFF"/>
                <w:sz w:val="19"/>
                <w:szCs w:val="19"/>
              </w:rPr>
              <w:t xml:space="preserve">Dimension</w:t>
            </w:r>
          </w:p>
        </w:tc>
        <w:tc>
          <w:tcPr>
            <w:tcW w:type="dxa" w:w="6848"/>
            <w:tcBorders>
              <w:top w:val="single" w:color="D9D5C8" w:sz="4"/>
              <w:left w:val="single" w:color="D9D5C8" w:sz="4"/>
              <w:bottom w:val="single" w:color="D9D5C8" w:sz="4"/>
              <w:right w:val="single" w:color="D9D5C8" w:sz="4"/>
            </w:tcBorders>
            <w:shd w:fill="1B2A4A" w:color="auto" w:val="clear"/>
            <w:tcMar>
              <w:top w:type="dxa" w:w="60"/>
              <w:left w:type="dxa" w:w="110"/>
              <w:bottom w:type="dxa" w:w="60"/>
              <w:right w:type="dxa" w:w="110"/>
            </w:tcMar>
          </w:tcPr>
          <w:p>
            <w:pPr>
              <w:spacing w:after="0"/>
            </w:pPr>
            <w:r>
              <w:rPr>
                <w:rFonts w:ascii="Calibri" w:cs="Calibri" w:eastAsia="Calibri" w:hAnsi="Calibri"/>
                <w:b/>
                <w:bCs/>
                <w:i w:val="false"/>
                <w:iCs w:val="false"/>
                <w:color w:val="FFFFFF"/>
                <w:sz w:val="19"/>
                <w:szCs w:val="19"/>
              </w:rPr>
              <w:t xml:space="preserve">Where it is taught in this standard</w:t>
            </w:r>
          </w:p>
        </w:tc>
      </w:tr>
      <w:tr>
        <w:tc>
          <w:tcPr>
            <w:tcW w:type="dxa" w:w="28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Politics/Government (P)</w:t>
            </w:r>
          </w:p>
        </w:tc>
        <w:tc>
          <w:tcPr>
            <w:tcW w:type="dxa" w:w="6848"/>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Politics/Government lens on FDR's New Deal Programs: The Civilian Conservation Corps (CCC, 1933) provided jobs for 250,000 unemployed young men aged 18-25 in rural…</w:t>
            </w:r>
          </w:p>
        </w:tc>
      </w:tr>
      <w:tr>
        <w:tc>
          <w:tcPr>
            <w:tcW w:type="dxa" w:w="28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Economics (E)</w:t>
            </w:r>
          </w:p>
        </w:tc>
        <w:tc>
          <w:tcPr>
            <w:tcW w:type="dxa" w:w="6848"/>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Economics lens on FDR's New Deal Programs: The Civilian Conservation Corps (CCC, 1933) provided jobs for 250,000 unemployed young men aged 18-25 in rural…</w:t>
            </w:r>
          </w:p>
        </w:tc>
      </w:tr>
      <w:tr>
        <w:tc>
          <w:tcPr>
            <w:tcW w:type="dxa" w:w="28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History (H)</w:t>
            </w:r>
          </w:p>
        </w:tc>
        <w:tc>
          <w:tcPr>
            <w:tcW w:type="dxa" w:w="6848"/>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History lens on FDR's New Deal Programs: The Civilian Conservation Corps (CCC, 1933) provided jobs for 250,000 unemployed young men aged 18-25 in rural…</w:t>
            </w:r>
          </w:p>
        </w:tc>
      </w:tr>
    </w:tbl>
    <w:p>
      <w:pPr>
        <w:pStyle w:val="Heading3"/>
        <w:keepNext/>
        <w:spacing w:after="90" w:before="150"/>
      </w:pPr>
      <w:r>
        <w:rPr>
          <w:rFonts w:ascii="Calibri" w:cs="Calibri" w:eastAsia="Calibri" w:hAnsi="Calibri"/>
          <w:b/>
          <w:bCs/>
          <w:i w:val="false"/>
          <w:iCs w:val="false"/>
          <w:color w:val="B22234"/>
          <w:sz w:val="24"/>
          <w:szCs w:val="24"/>
        </w:rPr>
        <w:t xml:space="preserve">US.44 — Effects and Controversies of New Deal Policies</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800"/>
        <w:gridCol w:w="6848"/>
      </w:tblGrid>
      <w:tr>
        <w:trPr>
          <w:tblHeader/>
        </w:trPr>
        <w:tc>
          <w:tcPr>
            <w:tcW w:type="dxa" w:w="2800"/>
            <w:tcBorders>
              <w:top w:val="single" w:color="D9D5C8" w:sz="4"/>
              <w:left w:val="single" w:color="D9D5C8" w:sz="4"/>
              <w:bottom w:val="single" w:color="D9D5C8" w:sz="4"/>
              <w:right w:val="single" w:color="D9D5C8" w:sz="4"/>
            </w:tcBorders>
            <w:shd w:fill="1B2A4A" w:color="auto" w:val="clear"/>
            <w:tcMar>
              <w:top w:type="dxa" w:w="60"/>
              <w:left w:type="dxa" w:w="110"/>
              <w:bottom w:type="dxa" w:w="60"/>
              <w:right w:type="dxa" w:w="110"/>
            </w:tcMar>
          </w:tcPr>
          <w:p>
            <w:pPr>
              <w:spacing w:after="0"/>
            </w:pPr>
            <w:r>
              <w:rPr>
                <w:rFonts w:ascii="Calibri" w:cs="Calibri" w:eastAsia="Calibri" w:hAnsi="Calibri"/>
                <w:b/>
                <w:bCs/>
                <w:i w:val="false"/>
                <w:iCs w:val="false"/>
                <w:color w:val="FFFFFF"/>
                <w:sz w:val="19"/>
                <w:szCs w:val="19"/>
              </w:rPr>
              <w:t xml:space="preserve">Dimension</w:t>
            </w:r>
          </w:p>
        </w:tc>
        <w:tc>
          <w:tcPr>
            <w:tcW w:type="dxa" w:w="6848"/>
            <w:tcBorders>
              <w:top w:val="single" w:color="D9D5C8" w:sz="4"/>
              <w:left w:val="single" w:color="D9D5C8" w:sz="4"/>
              <w:bottom w:val="single" w:color="D9D5C8" w:sz="4"/>
              <w:right w:val="single" w:color="D9D5C8" w:sz="4"/>
            </w:tcBorders>
            <w:shd w:fill="1B2A4A" w:color="auto" w:val="clear"/>
            <w:tcMar>
              <w:top w:type="dxa" w:w="60"/>
              <w:left w:type="dxa" w:w="110"/>
              <w:bottom w:type="dxa" w:w="60"/>
              <w:right w:type="dxa" w:w="110"/>
            </w:tcMar>
          </w:tcPr>
          <w:p>
            <w:pPr>
              <w:spacing w:after="0"/>
            </w:pPr>
            <w:r>
              <w:rPr>
                <w:rFonts w:ascii="Calibri" w:cs="Calibri" w:eastAsia="Calibri" w:hAnsi="Calibri"/>
                <w:b/>
                <w:bCs/>
                <w:i w:val="false"/>
                <w:iCs w:val="false"/>
                <w:color w:val="FFFFFF"/>
                <w:sz w:val="19"/>
                <w:szCs w:val="19"/>
              </w:rPr>
              <w:t xml:space="preserve">Where it is taught in this standard</w:t>
            </w:r>
          </w:p>
        </w:tc>
      </w:tr>
      <w:tr>
        <w:tc>
          <w:tcPr>
            <w:tcW w:type="dxa" w:w="28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Economics (E)</w:t>
            </w:r>
          </w:p>
        </w:tc>
        <w:tc>
          <w:tcPr>
            <w:tcW w:type="dxa" w:w="6848"/>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Economics lens on Effects and Controversies of New Deal Policies: Unemployment fell from 25% (1933) to 14% (1937), though rose again to 19% in 1938. Manufacturing output increa…</w:t>
            </w:r>
          </w:p>
        </w:tc>
      </w:tr>
      <w:tr>
        <w:tc>
          <w:tcPr>
            <w:tcW w:type="dxa" w:w="28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Politics/Government (P)</w:t>
            </w:r>
          </w:p>
        </w:tc>
        <w:tc>
          <w:tcPr>
            <w:tcW w:type="dxa" w:w="6848"/>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Politics/Government lens on Effects and Controversies of New Deal Policies: Unemployment fell from 25% (1933) to 14% (1937), though rose again to 19% in 1938. Manufacturing output increa…</w:t>
            </w:r>
          </w:p>
        </w:tc>
      </w:tr>
      <w:tr>
        <w:tc>
          <w:tcPr>
            <w:tcW w:type="dxa" w:w="28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Culture (C)</w:t>
            </w:r>
          </w:p>
        </w:tc>
        <w:tc>
          <w:tcPr>
            <w:tcW w:type="dxa" w:w="6848"/>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Culture lens on Effects and Controversies of New Deal Policies: Unemployment fell from 25% (1933) to 14% (1937), though rose again to 19% in 1938. Manufacturing output increa…</w:t>
            </w:r>
          </w:p>
        </w:tc>
      </w:tr>
    </w:tbl>
    <w:p>
      <w:r>
        <w:br w:type="page"/>
      </w:r>
    </w:p>
    <w:p>
      <w:pPr>
        <w:pStyle w:val="Heading1"/>
        <w:keepNext/>
        <w:spacing w:after="90" w:before="220"/>
      </w:pPr>
      <w:r>
        <w:rPr>
          <w:rFonts w:ascii="Calibri" w:cs="Calibri" w:eastAsia="Calibri" w:hAnsi="Calibri"/>
          <w:b/>
          <w:bCs/>
          <w:i w:val="false"/>
          <w:iCs w:val="false"/>
          <w:color w:val="1B2A4A"/>
          <w:sz w:val="36"/>
          <w:szCs w:val="36"/>
        </w:rPr>
        <w:t xml:space="preserve">15. Constructed Response (CER) — 6-Point Rubric</w:t>
      </w:r>
    </w:p>
    <w:p>
      <w:pPr>
        <w:spacing w:after="100"/>
      </w:pPr>
      <w:r>
        <w:rPr>
          <w:rFonts w:ascii="Calibri" w:cs="Calibri" w:eastAsia="Calibri" w:hAnsi="Calibri"/>
          <w:b w:val="false"/>
          <w:bCs w:val="false"/>
          <w:i w:val="false"/>
          <w:iCs w:val="false"/>
          <w:color w:val="1A1A1A"/>
          <w:sz w:val="22"/>
          <w:szCs w:val="22"/>
        </w:rPr>
        <w:t xml:space="preserve">The course’s canonical constructed-response scale. Student materials use the simple Full / Developing / Beginning per part; teachers score with the 6-point guide below (aligns with the DBQ/CER rubric bank).</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800"/>
        <w:gridCol w:w="1700"/>
        <w:gridCol w:w="7148"/>
      </w:tblGrid>
      <w:tr>
        <w:trPr>
          <w:tblHeader/>
        </w:trPr>
        <w:tc>
          <w:tcPr>
            <w:tcW w:type="dxa" w:w="800"/>
            <w:tcBorders>
              <w:top w:val="single" w:color="D9D5C8" w:sz="4"/>
              <w:left w:val="single" w:color="D9D5C8" w:sz="4"/>
              <w:bottom w:val="single" w:color="D9D5C8" w:sz="4"/>
              <w:right w:val="single" w:color="D9D5C8" w:sz="4"/>
            </w:tcBorders>
            <w:shd w:fill="1B2A4A" w:color="auto" w:val="clear"/>
            <w:tcMar>
              <w:top w:type="dxa" w:w="60"/>
              <w:left w:type="dxa" w:w="110"/>
              <w:bottom w:type="dxa" w:w="60"/>
              <w:right w:type="dxa" w:w="110"/>
            </w:tcMar>
          </w:tcPr>
          <w:p>
            <w:pPr>
              <w:spacing w:after="0"/>
            </w:pPr>
            <w:r>
              <w:rPr>
                <w:rFonts w:ascii="Calibri" w:cs="Calibri" w:eastAsia="Calibri" w:hAnsi="Calibri"/>
                <w:b/>
                <w:bCs/>
                <w:i w:val="false"/>
                <w:iCs w:val="false"/>
                <w:color w:val="FFFFFF"/>
                <w:sz w:val="19"/>
                <w:szCs w:val="19"/>
              </w:rPr>
              <w:t xml:space="preserve">Score</w:t>
            </w:r>
          </w:p>
        </w:tc>
        <w:tc>
          <w:tcPr>
            <w:tcW w:type="dxa" w:w="1700"/>
            <w:tcBorders>
              <w:top w:val="single" w:color="D9D5C8" w:sz="4"/>
              <w:left w:val="single" w:color="D9D5C8" w:sz="4"/>
              <w:bottom w:val="single" w:color="D9D5C8" w:sz="4"/>
              <w:right w:val="single" w:color="D9D5C8" w:sz="4"/>
            </w:tcBorders>
            <w:shd w:fill="1B2A4A" w:color="auto" w:val="clear"/>
            <w:tcMar>
              <w:top w:type="dxa" w:w="60"/>
              <w:left w:type="dxa" w:w="110"/>
              <w:bottom w:type="dxa" w:w="60"/>
              <w:right w:type="dxa" w:w="110"/>
            </w:tcMar>
          </w:tcPr>
          <w:p>
            <w:pPr>
              <w:spacing w:after="0"/>
            </w:pPr>
            <w:r>
              <w:rPr>
                <w:rFonts w:ascii="Calibri" w:cs="Calibri" w:eastAsia="Calibri" w:hAnsi="Calibri"/>
                <w:b/>
                <w:bCs/>
                <w:i w:val="false"/>
                <w:iCs w:val="false"/>
                <w:color w:val="FFFFFF"/>
                <w:sz w:val="19"/>
                <w:szCs w:val="19"/>
              </w:rPr>
              <w:t xml:space="preserve">Level</w:t>
            </w:r>
          </w:p>
        </w:tc>
        <w:tc>
          <w:tcPr>
            <w:tcW w:type="dxa" w:w="7148"/>
            <w:tcBorders>
              <w:top w:val="single" w:color="D9D5C8" w:sz="4"/>
              <w:left w:val="single" w:color="D9D5C8" w:sz="4"/>
              <w:bottom w:val="single" w:color="D9D5C8" w:sz="4"/>
              <w:right w:val="single" w:color="D9D5C8" w:sz="4"/>
            </w:tcBorders>
            <w:shd w:fill="1B2A4A" w:color="auto" w:val="clear"/>
            <w:tcMar>
              <w:top w:type="dxa" w:w="60"/>
              <w:left w:type="dxa" w:w="110"/>
              <w:bottom w:type="dxa" w:w="60"/>
              <w:right w:type="dxa" w:w="110"/>
            </w:tcMar>
          </w:tcPr>
          <w:p>
            <w:pPr>
              <w:spacing w:after="0"/>
            </w:pPr>
            <w:r>
              <w:rPr>
                <w:rFonts w:ascii="Calibri" w:cs="Calibri" w:eastAsia="Calibri" w:hAnsi="Calibri"/>
                <w:b/>
                <w:bCs/>
                <w:i w:val="false"/>
                <w:iCs w:val="false"/>
                <w:color w:val="FFFFFF"/>
                <w:sz w:val="19"/>
                <w:szCs w:val="19"/>
              </w:rPr>
              <w:t xml:space="preserve">What it looks like</w:t>
            </w:r>
          </w:p>
        </w:tc>
      </w:tr>
      <w:tr>
        <w:tc>
          <w:tcPr>
            <w:tcW w:type="dxa" w:w="8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6</w:t>
            </w:r>
          </w:p>
        </w:tc>
        <w:tc>
          <w:tcPr>
            <w:tcW w:type="dxa" w:w="17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Exemplary</w:t>
            </w:r>
          </w:p>
        </w:tc>
        <w:tc>
          <w:tcPr>
            <w:tcW w:type="dxa" w:w="7148"/>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Defensible, insightful claim; TWO or more precise, accurate pieces of evidence; reasoning fully explains HOW the evidence proves the claim; cohesive and sophisticated.</w:t>
            </w:r>
          </w:p>
        </w:tc>
      </w:tr>
      <w:tr>
        <w:tc>
          <w:tcPr>
            <w:tcW w:type="dxa" w:w="8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5</w:t>
            </w:r>
          </w:p>
        </w:tc>
        <w:tc>
          <w:tcPr>
            <w:tcW w:type="dxa" w:w="17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Advanced</w:t>
            </w:r>
          </w:p>
        </w:tc>
        <w:tc>
          <w:tcPr>
            <w:tcW w:type="dxa" w:w="7148"/>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Clear claim; strong, accurate evidence; reasoning explains the link with only minor gaps.</w:t>
            </w:r>
          </w:p>
        </w:tc>
      </w:tr>
      <w:tr>
        <w:tc>
          <w:tcPr>
            <w:tcW w:type="dxa" w:w="8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4</w:t>
            </w:r>
          </w:p>
        </w:tc>
        <w:tc>
          <w:tcPr>
            <w:tcW w:type="dxa" w:w="17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Proficient</w:t>
            </w:r>
          </w:p>
        </w:tc>
        <w:tc>
          <w:tcPr>
            <w:tcW w:type="dxa" w:w="7148"/>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Adequate claim; some specific evidence; reasoning present but general.</w:t>
            </w:r>
          </w:p>
        </w:tc>
      </w:tr>
      <w:tr>
        <w:tc>
          <w:tcPr>
            <w:tcW w:type="dxa" w:w="8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3</w:t>
            </w:r>
          </w:p>
        </w:tc>
        <w:tc>
          <w:tcPr>
            <w:tcW w:type="dxa" w:w="17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Adequate</w:t>
            </w:r>
          </w:p>
        </w:tc>
        <w:tc>
          <w:tcPr>
            <w:tcW w:type="dxa" w:w="7148"/>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Basic claim; limited or partly accurate evidence; reasoning thin.</w:t>
            </w:r>
          </w:p>
        </w:tc>
      </w:tr>
      <w:tr>
        <w:tc>
          <w:tcPr>
            <w:tcW w:type="dxa" w:w="8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2</w:t>
            </w:r>
          </w:p>
        </w:tc>
        <w:tc>
          <w:tcPr>
            <w:tcW w:type="dxa" w:w="17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Developing</w:t>
            </w:r>
          </w:p>
        </w:tc>
        <w:tc>
          <w:tcPr>
            <w:tcW w:type="dxa" w:w="7148"/>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Vague claim; little evidence; evidence largely unexplained.</w:t>
            </w:r>
          </w:p>
        </w:tc>
      </w:tr>
      <w:tr>
        <w:tc>
          <w:tcPr>
            <w:tcW w:type="dxa" w:w="8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1</w:t>
            </w:r>
          </w:p>
        </w:tc>
        <w:tc>
          <w:tcPr>
            <w:tcW w:type="dxa" w:w="17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Beginning</w:t>
            </w:r>
          </w:p>
        </w:tc>
        <w:tc>
          <w:tcPr>
            <w:tcW w:type="dxa" w:w="7148"/>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No clear claim; little or no evidence; no reasoning.</w:t>
            </w:r>
          </w:p>
        </w:tc>
      </w:tr>
    </w:tbl>
    <w:p>
      <w:pPr>
        <w:spacing w:after="100"/>
      </w:pPr>
      <w:r>
        <w:rPr>
          <w:rFonts w:ascii="Calibri" w:cs="Calibri" w:eastAsia="Calibri" w:hAnsi="Calibri"/>
          <w:b w:val="false"/>
          <w:bCs w:val="false"/>
          <w:i/>
          <w:iCs/>
          <w:color w:val="6B7280"/>
          <w:sz w:val="18"/>
          <w:szCs w:val="18"/>
        </w:rPr>
        <w:t xml:space="preserve">Swap in your bank’s exact CER rubric text if it differs; the 6-point scale (6 Exemplary → 1 Beginning) is the course convention.</w:t>
      </w:r>
    </w:p>
    <w:p>
      <w:r>
        <w:br w:type="page"/>
      </w:r>
    </w:p>
    <w:p>
      <w:pPr>
        <w:pStyle w:val="Heading1"/>
        <w:keepNext/>
        <w:spacing w:after="90" w:before="220"/>
      </w:pPr>
      <w:r>
        <w:rPr>
          <w:rFonts w:ascii="Calibri" w:cs="Calibri" w:eastAsia="Calibri" w:hAnsi="Calibri"/>
          <w:b/>
          <w:bCs/>
          <w:i w:val="false"/>
          <w:iCs w:val="false"/>
          <w:color w:val="1B2A4A"/>
          <w:sz w:val="36"/>
          <w:szCs w:val="36"/>
        </w:rPr>
        <w:t xml:space="preserve">16. Exit Ticket Answer Keys + What’s Next (reteach)</w:t>
      </w:r>
    </w:p>
    <w:p>
      <w:pPr>
        <w:spacing w:after="100"/>
      </w:pPr>
      <w:r>
        <w:rPr>
          <w:rFonts w:ascii="Calibri" w:cs="Calibri" w:eastAsia="Calibri" w:hAnsi="Calibri"/>
          <w:b w:val="false"/>
          <w:bCs w:val="false"/>
          <w:i/>
          <w:iCs/>
          <w:color w:val="6B7280"/>
          <w:sz w:val="20"/>
          <w:szCs w:val="20"/>
        </w:rPr>
        <w:t xml:space="preserve">For teacher use only — keep separate from student copies. Each standard’s Exit Ticket (end of the standard, on the CER page) with its key and reteach routing. Items are pre-field-test.</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00"/>
        <w:gridCol w:w="1900"/>
        <w:gridCol w:w="700"/>
        <w:gridCol w:w="700"/>
        <w:gridCol w:w="5448"/>
      </w:tblGrid>
      <w:tr>
        <w:trPr>
          <w:tblHeader/>
        </w:trPr>
        <w:tc>
          <w:tcPr>
            <w:tcW w:type="dxa" w:w="900"/>
            <w:tcBorders>
              <w:top w:val="single" w:color="D9D5C8" w:sz="4"/>
              <w:left w:val="single" w:color="D9D5C8" w:sz="4"/>
              <w:bottom w:val="single" w:color="D9D5C8" w:sz="4"/>
              <w:right w:val="single" w:color="D9D5C8" w:sz="4"/>
            </w:tcBorders>
            <w:shd w:fill="1B2A4A" w:color="auto" w:val="clear"/>
            <w:tcMar>
              <w:top w:type="dxa" w:w="60"/>
              <w:left w:type="dxa" w:w="110"/>
              <w:bottom w:type="dxa" w:w="60"/>
              <w:right w:type="dxa" w:w="110"/>
            </w:tcMar>
          </w:tcPr>
          <w:p>
            <w:pPr>
              <w:spacing w:after="0"/>
            </w:pPr>
            <w:r>
              <w:rPr>
                <w:rFonts w:ascii="Calibri" w:cs="Calibri" w:eastAsia="Calibri" w:hAnsi="Calibri"/>
                <w:b/>
                <w:bCs/>
                <w:i w:val="false"/>
                <w:iCs w:val="false"/>
                <w:color w:val="FFFFFF"/>
                <w:sz w:val="19"/>
                <w:szCs w:val="19"/>
              </w:rPr>
              <w:t xml:space="preserve">Std</w:t>
            </w:r>
          </w:p>
        </w:tc>
        <w:tc>
          <w:tcPr>
            <w:tcW w:type="dxa" w:w="1900"/>
            <w:tcBorders>
              <w:top w:val="single" w:color="D9D5C8" w:sz="4"/>
              <w:left w:val="single" w:color="D9D5C8" w:sz="4"/>
              <w:bottom w:val="single" w:color="D9D5C8" w:sz="4"/>
              <w:right w:val="single" w:color="D9D5C8" w:sz="4"/>
            </w:tcBorders>
            <w:shd w:fill="1B2A4A" w:color="auto" w:val="clear"/>
            <w:tcMar>
              <w:top w:type="dxa" w:w="60"/>
              <w:left w:type="dxa" w:w="110"/>
              <w:bottom w:type="dxa" w:w="60"/>
              <w:right w:type="dxa" w:w="110"/>
            </w:tcMar>
          </w:tcPr>
          <w:p>
            <w:pPr>
              <w:spacing w:after="0"/>
            </w:pPr>
            <w:r>
              <w:rPr>
                <w:rFonts w:ascii="Calibri" w:cs="Calibri" w:eastAsia="Calibri" w:hAnsi="Calibri"/>
                <w:b/>
                <w:bCs/>
                <w:i w:val="false"/>
                <w:iCs w:val="false"/>
                <w:color w:val="FFFFFF"/>
                <w:sz w:val="19"/>
                <w:szCs w:val="19"/>
              </w:rPr>
              <w:t xml:space="preserve">Item</w:t>
            </w:r>
          </w:p>
        </w:tc>
        <w:tc>
          <w:tcPr>
            <w:tcW w:type="dxa" w:w="700"/>
            <w:tcBorders>
              <w:top w:val="single" w:color="D9D5C8" w:sz="4"/>
              <w:left w:val="single" w:color="D9D5C8" w:sz="4"/>
              <w:bottom w:val="single" w:color="D9D5C8" w:sz="4"/>
              <w:right w:val="single" w:color="D9D5C8" w:sz="4"/>
            </w:tcBorders>
            <w:shd w:fill="1B2A4A" w:color="auto" w:val="clear"/>
            <w:tcMar>
              <w:top w:type="dxa" w:w="60"/>
              <w:left w:type="dxa" w:w="110"/>
              <w:bottom w:type="dxa" w:w="60"/>
              <w:right w:type="dxa" w:w="110"/>
            </w:tcMar>
          </w:tcPr>
          <w:p>
            <w:pPr>
              <w:spacing w:after="0"/>
            </w:pPr>
            <w:r>
              <w:rPr>
                <w:rFonts w:ascii="Calibri" w:cs="Calibri" w:eastAsia="Calibri" w:hAnsi="Calibri"/>
                <w:b/>
                <w:bCs/>
                <w:i w:val="false"/>
                <w:iCs w:val="false"/>
                <w:color w:val="FFFFFF"/>
                <w:sz w:val="19"/>
                <w:szCs w:val="19"/>
              </w:rPr>
              <w:t xml:space="preserve">DOK</w:t>
            </w:r>
          </w:p>
        </w:tc>
        <w:tc>
          <w:tcPr>
            <w:tcW w:type="dxa" w:w="700"/>
            <w:tcBorders>
              <w:top w:val="single" w:color="D9D5C8" w:sz="4"/>
              <w:left w:val="single" w:color="D9D5C8" w:sz="4"/>
              <w:bottom w:val="single" w:color="D9D5C8" w:sz="4"/>
              <w:right w:val="single" w:color="D9D5C8" w:sz="4"/>
            </w:tcBorders>
            <w:shd w:fill="1B2A4A" w:color="auto" w:val="clear"/>
            <w:tcMar>
              <w:top w:type="dxa" w:w="60"/>
              <w:left w:type="dxa" w:w="110"/>
              <w:bottom w:type="dxa" w:w="60"/>
              <w:right w:type="dxa" w:w="110"/>
            </w:tcMar>
          </w:tcPr>
          <w:p>
            <w:pPr>
              <w:spacing w:after="0"/>
            </w:pPr>
            <w:r>
              <w:rPr>
                <w:rFonts w:ascii="Calibri" w:cs="Calibri" w:eastAsia="Calibri" w:hAnsi="Calibri"/>
                <w:b/>
                <w:bCs/>
                <w:i w:val="false"/>
                <w:iCs w:val="false"/>
                <w:color w:val="FFFFFF"/>
                <w:sz w:val="19"/>
                <w:szCs w:val="19"/>
              </w:rPr>
              <w:t xml:space="preserve">Key</w:t>
            </w:r>
          </w:p>
        </w:tc>
        <w:tc>
          <w:tcPr>
            <w:tcW w:type="dxa" w:w="5448"/>
            <w:tcBorders>
              <w:top w:val="single" w:color="D9D5C8" w:sz="4"/>
              <w:left w:val="single" w:color="D9D5C8" w:sz="4"/>
              <w:bottom w:val="single" w:color="D9D5C8" w:sz="4"/>
              <w:right w:val="single" w:color="D9D5C8" w:sz="4"/>
            </w:tcBorders>
            <w:shd w:fill="1B2A4A" w:color="auto" w:val="clear"/>
            <w:tcMar>
              <w:top w:type="dxa" w:w="60"/>
              <w:left w:type="dxa" w:w="110"/>
              <w:bottom w:type="dxa" w:w="60"/>
              <w:right w:type="dxa" w:w="110"/>
            </w:tcMar>
          </w:tcPr>
          <w:p>
            <w:pPr>
              <w:spacing w:after="0"/>
            </w:pPr>
            <w:r>
              <w:rPr>
                <w:rFonts w:ascii="Calibri" w:cs="Calibri" w:eastAsia="Calibri" w:hAnsi="Calibri"/>
                <w:b/>
                <w:bCs/>
                <w:i w:val="false"/>
                <w:iCs w:val="false"/>
                <w:color w:val="FFFFFF"/>
                <w:sz w:val="19"/>
                <w:szCs w:val="19"/>
              </w:rPr>
              <w:t xml:space="preserve">What’s Next if a student misses it</w:t>
            </w:r>
          </w:p>
        </w:tc>
      </w:tr>
      <w:tr>
        <w:tc>
          <w:tcPr>
            <w:tcW w:type="dxa" w:w="9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US.39</w:t>
            </w:r>
          </w:p>
        </w:tc>
        <w:tc>
          <w:tcPr>
            <w:tcW w:type="dxa" w:w="19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us39-q2</w:t>
            </w:r>
          </w:p>
        </w:tc>
        <w:tc>
          <w:tcPr>
            <w:tcW w:type="dxa" w:w="7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2</w:t>
            </w:r>
          </w:p>
        </w:tc>
        <w:tc>
          <w:tcPr>
            <w:tcW w:type="dxa" w:w="7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C</w:t>
            </w:r>
          </w:p>
        </w:tc>
        <w:tc>
          <w:tcPr>
            <w:tcW w:type="dxa" w:w="5448"/>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Revisit Causes of the Great Depression — reteach with the Cornell cues + Guided Support; re-check with the Progress Check.</w:t>
            </w:r>
          </w:p>
        </w:tc>
      </w:tr>
      <w:tr>
        <w:tc>
          <w:tcPr>
            <w:tcW w:type="dxa" w:w="9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US.40</w:t>
            </w:r>
          </w:p>
        </w:tc>
        <w:tc>
          <w:tcPr>
            <w:tcW w:type="dxa" w:w="19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us40-q1</w:t>
            </w:r>
          </w:p>
        </w:tc>
        <w:tc>
          <w:tcPr>
            <w:tcW w:type="dxa" w:w="7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2</w:t>
            </w:r>
          </w:p>
        </w:tc>
        <w:tc>
          <w:tcPr>
            <w:tcW w:type="dxa" w:w="7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D</w:t>
            </w:r>
          </w:p>
        </w:tc>
        <w:tc>
          <w:tcPr>
            <w:tcW w:type="dxa" w:w="5448"/>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Revisit The Dust Bowl — reteach with the Cornell cues + Guided Support; re-check with the Progress Check.</w:t>
            </w:r>
          </w:p>
        </w:tc>
      </w:tr>
      <w:tr>
        <w:tc>
          <w:tcPr>
            <w:tcW w:type="dxa" w:w="9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US.41</w:t>
            </w:r>
          </w:p>
        </w:tc>
        <w:tc>
          <w:tcPr>
            <w:tcW w:type="dxa" w:w="19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us41-q1</w:t>
            </w:r>
          </w:p>
        </w:tc>
        <w:tc>
          <w:tcPr>
            <w:tcW w:type="dxa" w:w="7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2</w:t>
            </w:r>
          </w:p>
        </w:tc>
        <w:tc>
          <w:tcPr>
            <w:tcW w:type="dxa" w:w="7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A</w:t>
            </w:r>
          </w:p>
        </w:tc>
        <w:tc>
          <w:tcPr>
            <w:tcW w:type="dxa" w:w="5448"/>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Revisit Impact of the Great Depression on the American People — reteach with the Cornell cues + Guided Support; re-check with the Progress Check.</w:t>
            </w:r>
          </w:p>
        </w:tc>
      </w:tr>
      <w:tr>
        <w:tc>
          <w:tcPr>
            <w:tcW w:type="dxa" w:w="9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US.42</w:t>
            </w:r>
          </w:p>
        </w:tc>
        <w:tc>
          <w:tcPr>
            <w:tcW w:type="dxa" w:w="19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us42-q1</w:t>
            </w:r>
          </w:p>
        </w:tc>
        <w:tc>
          <w:tcPr>
            <w:tcW w:type="dxa" w:w="7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2</w:t>
            </w:r>
          </w:p>
        </w:tc>
        <w:tc>
          <w:tcPr>
            <w:tcW w:type="dxa" w:w="7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B</w:t>
            </w:r>
          </w:p>
        </w:tc>
        <w:tc>
          <w:tcPr>
            <w:tcW w:type="dxa" w:w="5448"/>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Revisit Herbert Hoover's Response — reteach with the Cornell cues + Guided Support; re-check with the Progress Check.</w:t>
            </w:r>
          </w:p>
        </w:tc>
      </w:tr>
      <w:tr>
        <w:tc>
          <w:tcPr>
            <w:tcW w:type="dxa" w:w="9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US.43</w:t>
            </w:r>
          </w:p>
        </w:tc>
        <w:tc>
          <w:tcPr>
            <w:tcW w:type="dxa" w:w="19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us43-q1</w:t>
            </w:r>
          </w:p>
        </w:tc>
        <w:tc>
          <w:tcPr>
            <w:tcW w:type="dxa" w:w="7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2</w:t>
            </w:r>
          </w:p>
        </w:tc>
        <w:tc>
          <w:tcPr>
            <w:tcW w:type="dxa" w:w="7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C</w:t>
            </w:r>
          </w:p>
        </w:tc>
        <w:tc>
          <w:tcPr>
            <w:tcW w:type="dxa" w:w="5448"/>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Revisit FDR's New Deal Programs — reteach with the Cornell cues + Guided Support; re-check with the Progress Check.</w:t>
            </w:r>
          </w:p>
        </w:tc>
      </w:tr>
      <w:tr>
        <w:tc>
          <w:tcPr>
            <w:tcW w:type="dxa" w:w="9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US.44</w:t>
            </w:r>
          </w:p>
        </w:tc>
        <w:tc>
          <w:tcPr>
            <w:tcW w:type="dxa" w:w="19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us44-q1</w:t>
            </w:r>
          </w:p>
        </w:tc>
        <w:tc>
          <w:tcPr>
            <w:tcW w:type="dxa" w:w="7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2</w:t>
            </w:r>
          </w:p>
        </w:tc>
        <w:tc>
          <w:tcPr>
            <w:tcW w:type="dxa" w:w="7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D</w:t>
            </w:r>
          </w:p>
        </w:tc>
        <w:tc>
          <w:tcPr>
            <w:tcW w:type="dxa" w:w="5448"/>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Revisit Effects and Controversies of New Deal Policies — reteach with the Cornell cues + Guided Support; re-check with the Progress Check.</w:t>
            </w:r>
          </w:p>
        </w:tc>
      </w:tr>
    </w:tbl>
    <w:sectPr>
      <w:headerReference w:type="default" r:id="rId7"/>
      <w:footerReference w:type="default" r:id="rId8"/>
      <w:pgSz w:w="12240" w:h="15840" w:orient="portrait"/>
      <w:pgMar w:top="1152" w:right="1296" w:bottom="1152" w:left="1296" w:header="720" w:footer="72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jc w:val="center"/>
    </w:pPr>
    <w:r>
      <w:rPr>
        <w:rFonts w:ascii="Calibri" w:cs="Calibri" w:eastAsia="Calibri" w:hAnsi="Calibri"/>
        <w:b w:val="false"/>
        <w:bCs w:val="false"/>
        <w:i w:val="false"/>
        <w:iCs w:val="false"/>
        <w:color w:val="6B7280"/>
        <w:sz w:val="15"/>
        <w:szCs w:val="15"/>
      </w:rPr>
      <w:t xml:space="preserve">U.S. History Hack™ · Unit 5 Teacher Guide   © 2026 TroopToTeacher Technologies LLC   |   Page </w:t>
    </w:r>
    <w:r>
      <w:rPr>
        <w:rFonts w:ascii="Calibri" w:cs="Calibri" w:eastAsia="Calibri" w:hAnsi="Calibri"/>
        <w:b/>
        <w:bCs/>
        <w:color w:val="6B7280"/>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right"/>
    </w:pPr>
    <w:r>
      <w:rPr>
        <w:rFonts w:ascii="Calibri" w:cs="Calibri" w:eastAsia="Calibri" w:hAnsi="Calibri"/>
        <w:b/>
        <w:bCs/>
        <w:i w:val="false"/>
        <w:iCs w:val="false"/>
        <w:color w:val="C89B3C"/>
        <w:sz w:val="16"/>
        <w:szCs w:val="16"/>
      </w:rPr>
      <w:t xml:space="preserve">U.S. History Hack™ · Unit 5 Teacher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keepNext/>
      <w:spacing w:after="90" w:before="220"/>
      <w:outlineLvl w:val="0"/>
    </w:pPr>
    <w:rPr>
      <w:rFonts w:ascii="Calibri" w:cs="Calibri" w:eastAsia="Calibri" w:hAnsi="Calibri"/>
      <w:b/>
      <w:bCs/>
      <w:color w:val="1B2A4A"/>
      <w:sz w:val="36"/>
      <w:szCs w:val="36"/>
    </w:rPr>
  </w:style>
  <w:style w:type="paragraph" w:styleId="Heading2">
    <w:name w:val="Heading 2"/>
    <w:basedOn w:val="Normal"/>
    <w:next w:val="Normal"/>
    <w:pPr>
      <w:keepNext/>
      <w:spacing w:after="80" w:before="150"/>
      <w:outlineLvl w:val="1"/>
    </w:pPr>
    <w:rPr>
      <w:rFonts w:ascii="Calibri" w:cs="Calibri" w:eastAsia="Calibri" w:hAnsi="Calibri"/>
      <w:b/>
      <w:bCs/>
      <w:color w:val="1B2A4A"/>
      <w:sz w:val="28"/>
      <w:szCs w:val="28"/>
    </w:rPr>
  </w:style>
  <w:style w:type="paragraph" w:styleId="Heading3">
    <w:name w:val="Heading 3"/>
    <w:basedOn w:val="Normal"/>
    <w:next w:val="Normal"/>
    <w:pPr>
      <w:keepNext/>
      <w:spacing w:after="70" w:before="120"/>
      <w:outlineLvl w:val="2"/>
    </w:pPr>
    <w:rPr>
      <w:rFonts w:ascii="Calibri" w:cs="Calibri" w:eastAsia="Calibri" w:hAnsi="Calibri"/>
      <w:b/>
      <w:bCs/>
      <w:color w:val="B2223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U.S. History Hack — Unit 5 Teacher How-to-Use &amp; MTSS Guide (Pilot)</dc:title>
  <dc:creator>TroopToTeacher Technologies LLC</dc:creator>
  <cp:lastModifiedBy>Un-named</cp:lastModifiedBy>
  <cp:revision>1</cp:revision>
  <dcterms:created xsi:type="dcterms:W3CDTF">2026-07-27T07:16:06.537Z</dcterms:created>
  <dcterms:modified xsi:type="dcterms:W3CDTF">2026-07-27T07:16:06.538Z</dcterms:modified>
</cp:coreProperties>
</file>

<file path=docProps/custom.xml><?xml version="1.0" encoding="utf-8"?>
<Properties xmlns="http://schemas.openxmlformats.org/officeDocument/2006/custom-properties" xmlns:vt="http://schemas.openxmlformats.org/officeDocument/2006/docPropsVTypes"/>
</file>