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Unit 9 — Teacher How-to-Use &amp; MTSS Guide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The Civil Rights Movement (1954–1975) · Course Standard · US.78–US.82 · Grades 9–12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Release-Ready · Pilot Edition. This guide holds the answer key for teacher use only — keep it separate from student materials.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1. Firm Goals, Flexible Means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One firm learning goal per standard; flexible, universal means. Supports are available by design and never lower the goal. They work alongside — never in place of — required IEP or 504 accommodations.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The same six labels students see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PATH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Essential instruction every student completes.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SUPPORT OPTION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Optional scaffold that keeps the goal, not lowers it.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Vocabulary, pronunciation, and Spanish cognates.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RESPONSE CHOICE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Write, say/record, or diagram.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PROGRESS CHECK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Quick DOK-2/3 check to guide reteach or extend.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Deeper challenge once the goal is met.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2. Label-to-Action Table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8"/>
      </w:tblGrid>
      <w:tr>
        <w:trPr>
          <w:tblHeader/>
        </w:trP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you see…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 this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PATH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Teach to all; this is the standard expectation.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SUPPORT OPTION / Guided Back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Offer to any student; never assign by track.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Pre-teach Word Bank terms; use Spanish column for access.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PROGRESS CHECK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Collect a quick response; route with the Decision Cycle.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EXTENSION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Offer the higher-DOK CER/Extension Bank to anyone ready.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3. MTSS — Tiers of Support Intensity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648"/>
      </w:tblGrid>
      <w:tr>
        <w:trPr>
          <w:tblHeader/>
        </w:trP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Who / when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 this unit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1 (Core)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students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deck + workbook CORE PATH, Word Bank, Cornell Notes.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2 (Targeted)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Students missing a Progress Check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Guided Support Back, sentence frames, Rehearsal Lab.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3 (Intensive)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Persistent barrier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Pair Guided Back with IEP/504 supports; reteach a step.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4. The MTSS Decision Cycle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4"/>
          <w:szCs w:val="24"/>
        </w:rPr>
        <w:t xml:space="preserve">PROGRESS CHECK → identify barrier → select support → reteach → recheck → extend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Scaffold fading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Fade Guided → Light → independent as evidence grows; reintroduce support for a new barrier. Required IEP/504 accommodations do not fade unless the authorized team changes them.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5. District Review Evidence Snapshot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8"/>
      </w:tblGrid>
      <w:tr>
        <w:trPr>
          <w:tblHeader/>
        </w:trP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shows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Standards alignment (US.78–82)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Standards &amp; SSP Crosswalk; per-standard blocks.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Public-domain sources, cited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Library; Activity 5 each standard.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UDL 3.0 visible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Accessibility matrix; callouts throughout.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MTSS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guide §3–4; wrap-up decision band in the Teacher Deck.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Assessment integrity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Answer key here (separate); de-biased positions.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6. Direct Teaching + Cornell Notes + Slide Deck Workflow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Project the Student (Lean) Deck; students take Cornell Notes on the Universal Front. The Teacher (Full) Deck carries Quick Reviews, Guided Practice, Checks for Understanding, and Answer Reveals.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Verified Lean Student Deck ranges (from the final 64-slide deck)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900"/>
        <w:gridCol w:w="1449"/>
        <w:gridCol w:w="1500"/>
        <w:gridCol w:w="1499"/>
      </w:tblGrid>
      <w:tr>
        <w:trPr>
          <w:tblHeader/>
        </w:trP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Lean Deck range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Direct-teaching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Vocab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source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Progress Check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US.78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US.79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US.80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US.81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US.82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7. What to Print and When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Print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Cornell Universal Front (per standard)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1 of each standard.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Guided / Light Support Backs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 request only; reverse of the front.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Practice Quiz + CER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After direct teaching, before the standard assessment.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Library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Once per unit for reference.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8. Per-Standard Lesson Sequence &amp; Pacing (one standard = one 45-minute period)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standard is taught in a single 45-minute period, but the workbook intentionally holds more activity than one period can fit — run them all and it is roughly 90–105 minutes. That is by design: you choose which activities fill your period, and the rest become bell-ringers, stations, homework, reteach, or extension. The estimates below are honest time-on-task for an average class; adjust for yours. Every workbook activity header shows the same ⏱ estimate so students can self-pace.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Honest activity time estimates (pick what fills your 45 minutes)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5448"/>
      </w:tblGrid>
      <w:tr>
        <w:trPr>
          <w:tblHeader/>
        </w:trP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~Time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 launch (hook · goal · activate · predict)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Frames the learning target and the day.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1 — Vocabulary Word Bank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Reference + self-check + quick-write.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2 — Vocabulary Studio (Frayer)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One priority term, four quadrants.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3 — Cornell Notes (with slide deck)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Direct-teaching capture — front + processing back.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4 — Close Read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Passage, annotation, text-dependent questions.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Geographer’s Lens (G-tagged standards, as applicable)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Analyze the period map + mark-up.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5 — Primary Source / Data (HIPPO)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+ five HIPPO prompts + response.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6 — Practice Quiz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few items + one short DOK-3 write.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7 — CER + Exit Ticket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CER organizer + paragraph (~12) and Exit Ticket (~3).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every activity and a standard totals ≈ 105 minutes (≈ 95 without a map) — about two periods of work compressed into a one-period design. So it is a menu, not a checklist.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How to fill the period — your call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You decide which activities run in class. A common choice is Launch → Cornell Notes with the deck → one analysis activity (Close Read or Primary Source) → the Exit Ticket, but nothing forces that set — pick what your class needs that day.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The Exit Ticket is the daily formative check; try to close every period with it (see §16 for the keys and reteach routing).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Whatever you do not run in class becomes a bell-ringer, station, early-finisher task, homework, reteach, or extension. Rigor stays the same for every learner; UDL/MTSS supports layer on without lowering the bar.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9. Assessment Source &amp; Item Metadata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standard’s Progress Check / Transfer Check is a Teacher-Deck Check for Understanding (DOK 2–3). The additional Practice-Quiz DOK-1 items are History Hack-authored recall items. All items are pre-field-test (classroom-formative), not a secure TCAP form. Correct-answer positions are de-biased and identical across Student Progress Check, Teacher CFU/Reveal, and the workbook Transfer Check.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De-biased key distribution (Transfer Checks, US.78–US.82)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 · B · C · D · A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10. Practice Quiz — Answer Key &amp; Rationales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For teacher use only — keep separate from student copies.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US.78 — Brown v. Board of Education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us78-q2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u1-us78-dok3-tc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vague "all deliberate speed" timeline in Brown II gave Southern states room to delay, and many resisted through closing public schools, creating private academies, and outright defiance.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US.79 — Civil Rights Advocates and Opponents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us79-q2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u1-us79-dok3-tc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King and Malcolm X represented different but evolving approaches—King's dream of integration through nonviolence contrasted with Malcolm X's early separatism, though Malcolm X later embraced broader human rights perspectives.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US.80 — Significant Civil Rights Events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us80-q2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u1-us80-dok3-tc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Television brought the violence of segregation into American living rooms, creating widespread outrage that translated into political pressure for federal civil rights legislation.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US.81 — Civil and Voting Rights Legislation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us81-q2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u1-us81-dok3-tc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While the 1964 Act addressed public segregation, housing discrimination continued to create segregated neighborhoods that affected educational and economic opportunity, requiring specific legislation.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US.82 — American Indian, Chicano &amp; Feminist Movements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us82-q2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u1-us82-dok3-tc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While borrowing successful tactics, each movement addressed specific injustices—AIM emphasized sovereignty and treaty rights, Chicanos focused on labor and education, and feminists targeted gender discrimination.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11. How CAST UDL 3.0 Is Visible in Unit 9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UDL principle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 this unit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Engagement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Response choice; Tennessee Connection relevance; optional extensions.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Representation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Word Bank + pronunciation + Spanish; Close-Read supports; HIPPO scaffold.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Action &amp; Expression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Write / say / diagram; Frayer studio; CER with rubric.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No fixed-track labels appear anywhere in the student materials; supports are universal and optional.</w:t>
      </w:r>
    </w:p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12. Printable Blank Templates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Reusable blank versions of the two most-printed student pages — print as many as you need for any lesson. Each is designed to fill one page; the Cornell notes are meant to print duplex with a support scaffold on the reverse.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Blank Cornell Notes — Universal Front (printable)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Name: ______________________    Class / Period: __________    Date: __________    Topic: ______________________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LEARNING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 can __________________________________________________________________________________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Guiding cues (about 25%)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My notes (about 75%)</w:t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The 25/75 split describes the approximate width of each writing column (label, not a fixed track).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Key terms to list</w:t>
            </w:r>
          </w:p>
        </w:tc>
      </w:tr>
      <w:tr>
        <w:trPr>
          <w:trHeight w:val="42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Summary — In your own words (2–3 sentences)</w:t>
            </w:r>
          </w:p>
        </w:tc>
      </w:tr>
      <w:tr>
        <w:trPr>
          <w:trHeight w:val="56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My 12–15 word headline</w:t>
            </w:r>
          </w:p>
        </w:tc>
      </w:tr>
      <w:tr>
        <w:trPr>
          <w:trHeight w:val="46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Print duplex: the Guided or Light Support for these notes goes on the reverse of this page.</w:t>
      </w:r>
    </w:p>
    <w:p>
      <w:r>
        <w:br w:type="page"/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Blank Vocabulary Studio — Frayer (printable)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RESPONSE CHOICE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Complete the studio by writing, speaking, or diagramming.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9B3C"/>
                <w:sz w:val="16"/>
                <w:szCs w:val="16"/>
              </w:rPr>
              <w:t xml:space="preserve">PRIORITY TERM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   __________________________     ES: __________________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Word-bank meaning to build on: ______________________________________________________________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Definition (in your own words)</w:t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Characteristics</w:t>
            </w:r>
          </w:p>
        </w:tc>
      </w:tr>
      <w:tr>
        <w:trPr>
          <w:trHeight w:val="900" w:hRule="atLeast"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Examples</w:t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Non-examples</w:t>
            </w:r>
          </w:p>
        </w:tc>
      </w:tr>
      <w:tr>
        <w:trPr>
          <w:trHeight w:val="900" w:hRule="atLeast"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Use it to explain — write one sentence that uses the term</w:t>
            </w:r>
          </w:p>
        </w:tc>
      </w:tr>
      <w:tr>
        <w:trPr>
          <w:trHeight w:val="52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13. Social Studies Practices (SSP) Crosswalk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activity in the seven-activity cycle builds specific Tennessee Social Studies Practices. Every SSP.01–SSP.06 is covered within each standard’s cycle.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4548"/>
      </w:tblGrid>
      <w:tr>
        <w:trPr>
          <w:tblHeader/>
        </w:trP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Builds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Practice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Cornell Notes (Activity 3)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SSP.05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 historical awareness — sequence events, recognize cause &amp; effect.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Close Read (Activity 4)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SSP.03 · SSP.05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Synthesize data from multiple sources; historical awareness.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Source / HIPPO (Activity 5)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SSP.01 · SSP.02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Gather, analyze, and evaluate sources; critically examine a source for point of view, bias, context.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Geographer’s Lens (G-tagged standards)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SSP.06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Analyze relationships among geography, economics, and society across time and place.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Practice Quiz (Activity 6)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SSP.01–06 (assessed)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Applied across items.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CER (Activity 7)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SSP.04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Construct and communicate arguments citing supporting evidence.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Coverage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All six practices (SSP.01–SSP.06) are built within every standard’s cycle.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14. Standard Dimension Coverage (C · E · G · H · P · T · TCA)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TN standard carries dimension tags. This crosswalk shows where each dimension is taught within the standard — evidence of full coverage for adoption review. Students see these as plain-language “lenses” on each standard’s opening page.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US.78 — Brown v. Board of Education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Brown v. Board of Education: The case emerged from decades of "separate but equal" doctrine established in Plessy v. Ferguson (1896). By th…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Brown v. Board of Education: The case emerged from decades of "separate but equal" doctrine established in Plessy v. Ferguson (1896). By th…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US.79 — Civil Rights Advocates and Opponents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Civil Rights Advocates and Opponents: Martin Luther King Jr. led nonviolent resistance, organized the Montgomery Bus Boycott, founded the Southern C…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Civil Rights Advocates and Opponents: Martin Luther King Jr. led nonviolent resistance, organized the Montgomery Bus Boycott, founded the Southern C…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US.80 — Significant Civil Rights Events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Significant Civil Rights Events: The Montgomery Bus Boycott (1955-1956), sparked by Rosa Parks' arrest, demonstrated Black economic power throu…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Significant Civil Rights Events: The Montgomery Bus Boycott (1955-1956), sparked by Rosa Parks' arrest, demonstrated Black economic power throu…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Significant Civil Rights Events: The Montgomery Bus Boycott (1955-1956), sparked by Rosa Parks' arrest, demonstrated Black economic power throu…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US.81 — Civil and Voting Rights Legislation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Civil and Voting Rights Legislation: This landmark legislation banned discrimination in public accommodations, employment, and federally funded pro…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Civil and Voting Rights Legislation: This landmark legislation banned discrimination in public accommodations, employment, and federally funded pro…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Civil and Voting Rights Legislation: This landmark legislation banned discrimination in public accommodations, employment, and federally funded pro…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US.82 — American Indian, Chicano &amp; Feminist Movements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American Indian, Chicano &amp; Feminist Movements: AIM pursued tribal sovereignty, treaty rights, cultural preservation, and economic development on reservations…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American Indian, Chicano &amp; Feminist Movements: AIM pursued tribal sovereignty, treaty rights, cultural preservation, and economic development on reservations…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15. Constructed Response (CER) — 6-Point Rubric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course’s canonical constructed-response scale. Student materials use the simple Full / Developing / Beginning per part; teachers score with the 6-point guide below (aligns with the DBQ/CER rubric bank).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7148"/>
      </w:tblGrid>
      <w:tr>
        <w:trPr>
          <w:tblHeader/>
        </w:trP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looks like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Exemplary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Defensible, insightful claim; TWO or more precise, accurate pieces of evidence; reasoning fully explains HOW the evidence proves the claim; cohesive and sophisticated.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Advanced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Clear claim; strong, accurate evidence; reasoning explains the link with only minor gaps.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Proficient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Adequate claim; some specific evidence; reasoning present but general.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Adequate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Basic claim; limited or partly accurate evidence; reasoning thin.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Developing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Vague claim; little evidence; evidence largely unexplained.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Beginning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clear claim; little or no evidence; no reasoning.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Swap in your bank’s exact CER rubric text if it differs; the 6-point scale (6 Exemplary → 1 Beginning) is the course convention.</w:t>
      </w:r>
    </w:p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16. Exit Ticket Answer Keys + What’s Next (reteach)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For teacher use only — keep separate from student copies. Each standard’s Exit Ticket (end of the standard, on the CER page) with its key and reteach routing. Items are pre-field-test.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700"/>
        <w:gridCol w:w="700"/>
        <w:gridCol w:w="5448"/>
      </w:tblGrid>
      <w:tr>
        <w:trPr>
          <w:tblHeader/>
        </w:trP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Std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What’s Next if a student misses it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US.78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us78-q1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Brown v. Board of Education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US.79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us79-q1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Civil Rights Advocates and Opponents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US.80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us80-q1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Significant Civil Rights Events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US.81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us81-q1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Civil and Voting Rights Legislation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US.82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us82-q1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American Indian, Chicano &amp; Feminist Movements — reteach with the Cornell cues + Guided Support; re-check with the Progress Check.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280"/>
        <w:sz w:val="15"/>
        <w:szCs w:val="15"/>
      </w:rPr>
      <w:t xml:space="preserve">U.S. History Hack™ · Unit 9 Teacher Guide   © 2026 TroopToTeacher Technologies LLC   |   Page </w:t>
    </w:r>
    <w:r>
      <w:rPr>
        <w:rFonts w:ascii="Calibri" w:cs="Calibri" w:eastAsia="Calibri" w:hAnsi="Calibr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i w:val="false"/>
        <w:iCs w:val="false"/>
        <w:color w:val="C89B3C"/>
        <w:sz w:val="16"/>
        <w:szCs w:val="16"/>
      </w:rPr>
      <w:t xml:space="preserve">U.S. History Hack™ · Unit 9 Teacher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after="90" w:before="22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pPr>
      <w:keepNext/>
      <w:spacing w:after="80" w:before="150"/>
      <w:outlineLvl w:val="1"/>
    </w:pPr>
    <w:rPr>
      <w:rFonts w:ascii="Calibri" w:cs="Calibri" w:eastAsia="Calibri" w:hAnsi="Calibr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pPr>
      <w:keepNext/>
      <w:spacing w:after="70" w:before="120"/>
      <w:outlineLvl w:val="2"/>
    </w:pPr>
    <w:rPr>
      <w:rFonts w:ascii="Calibri" w:cs="Calibri" w:eastAsia="Calibri" w:hAnsi="Calibri"/>
      <w:b/>
      <w:bCs/>
      <w:color w:val="B222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U.S. History Hack — Unit 9 Teacher How-to-Use &amp; MTSS Guide (Pilot)</dc:title>
  <dc:creator>TroopToTeacher Technologies LLC</dc:creator>
  <cp:lastModifiedBy>Un-named</cp:lastModifiedBy>
  <cp:revision>1</cp:revision>
  <dcterms:created xsi:type="dcterms:W3CDTF">2026-07-27T07:16:40.794Z</dcterms:created>
  <dcterms:modified xsi:type="dcterms:W3CDTF">2026-07-27T07:16:40.794Z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