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222222"/>
          <w:sz w:val="30"/>
          <w:szCs w:val="30"/>
        </w:rPr>
        <w:t xml:space="preserve">TEAM-Aligned Lesson Plan</w:t>
      </w:r>
    </w:p>
    <w:p>
      <w:pPr>
        <w:pBdr>
          <w:bottom w:val="single" w:color="1F3A5F" w:sz="12" w:space="6"/>
        </w:pBdr>
        <w:spacing w:after="160"/>
      </w:pPr>
      <w:r>
        <w:rPr>
          <w:color w:val="555555"/>
          <w:sz w:val="18"/>
          <w:szCs w:val="18"/>
        </w:rPr>
        <w:t xml:space="preserve">U.S. History (Grades 9–12) · Franklin High School · Williamson County Schools</w:t>
      </w:r>
    </w:p>
    <w:p>
      <w:pPr>
        <w:spacing w:after="40"/>
      </w:pPr>
      <w:r>
        <w:rPr>
          <w:b/>
          <w:bCs/>
          <w:color w:val="1F3A5F"/>
          <w:sz w:val="18"/>
          <w:szCs w:val="18"/>
        </w:rPr>
        <w:t xml:space="preserve">Standard:  </w:t>
      </w:r>
      <w:r>
        <w:rPr>
          <w:color w:val="222222"/>
          <w:sz w:val="18"/>
          <w:szCs w:val="18"/>
        </w:rPr>
        <w:t xml:space="preserve">US.07 — Immigration: Old vs. New Immigrants</w:t>
      </w:r>
    </w:p>
    <w:p>
      <w:pPr>
        <w:spacing w:after="40"/>
      </w:pPr>
      <w:r>
        <w:rPr>
          <w:b/>
          <w:bCs/>
          <w:color w:val="1F3A5F"/>
          <w:sz w:val="18"/>
          <w:szCs w:val="18"/>
        </w:rPr>
        <w:t xml:space="preserve">Schedule:  </w:t>
      </w:r>
      <w:r>
        <w:rPr>
          <w:color w:val="222222"/>
          <w:sz w:val="18"/>
          <w:szCs w:val="18"/>
        </w:rPr>
        <w:t xml:space="preserve">Regular block — 47 minutes   ·   Date: ______________   ·   Teacher: ______________</w:t>
      </w:r>
    </w:p>
    <w:p>
      <w:pPr>
        <w:spacing w:after="120"/>
      </w:pPr>
      <w:r>
        <w:rPr>
          <w:b/>
          <w:bCs/>
          <w:color w:val="1F3A5F"/>
          <w:sz w:val="17"/>
          <w:szCs w:val="17"/>
        </w:rPr>
        <w:t xml:space="preserve">TN Standard (full text): </w:t>
      </w:r>
      <w:r>
        <w:rPr>
          <w:i/>
          <w:iCs/>
          <w:sz w:val="17"/>
          <w:szCs w:val="17"/>
        </w:rPr>
        <w:t xml:space="preserve">Describe the differences between "old" and "new" immigrants, analyze the assimilation process for "new" immigrants, and determine the impacts of increased migration on American society, including: Angel Island, Ellis Island, Push and pull factors, Ethnic clusters, Jane Addams, Competition for jobs, Rise of nativism, Jacob Riis, Chinese Exclusion Act and Gentleman's Agreement.</w:t>
      </w:r>
    </w:p>
    <w:p>
      <w:pPr>
        <w:pBdr>
          <w:bottom w:val="single" w:color="C9D3DD" w:sz="4" w:space="4"/>
        </w:pBdr>
        <w:spacing w:after="90" w:before="220"/>
      </w:pPr>
      <w:r>
        <w:rPr>
          <w:b/>
          <w:bCs/>
          <w:color w:val="1F3A5F"/>
          <w:sz w:val="22"/>
          <w:szCs w:val="22"/>
        </w:rPr>
        <w:t xml:space="preserve">1 · Standards &amp; Objectives</w:t>
      </w:r>
    </w:p>
    <w:p>
      <w:pPr>
        <w:spacing w:after="120" w:line="264"/>
      </w:pPr>
      <w:r>
        <w:rPr>
          <w:b/>
          <w:bCs/>
          <w:sz w:val="18"/>
          <w:szCs w:val="18"/>
        </w:rPr>
        <w:t xml:space="preserve">Learning objective (I-CAN): </w:t>
      </w:r>
      <w:r>
        <w:rPr>
          <w:sz w:val="18"/>
          <w:szCs w:val="18"/>
        </w:rPr>
        <w:t xml:space="preserve">“I can describe the differences between "old" and "new" immigrants, analyze the assimilation process for "new" immigrants, and determine the impacts of increased migration on American society.”</w:t>
      </w:r>
    </w:p>
    <w:p>
      <w:pPr>
        <w:spacing w:after="60"/>
      </w:pPr>
      <w:r>
        <w:rPr>
          <w:b/>
          <w:bCs/>
          <w:sz w:val="18"/>
          <w:szCs w:val="18"/>
        </w:rPr>
        <w:t xml:space="preserve">Sub-objectives (sequenced from the standard's criteria):</w:t>
      </w:r>
    </w:p>
    <w:p>
      <w:pPr>
        <w:pStyle w:val="ListParagraph"/>
        <w:numPr>
          <w:ilvl w:val="0"/>
          <w:numId w:val="2"/>
        </w:numPr>
        <w:spacing w:after="70" w:line="258"/>
      </w:pPr>
      <w:r>
        <w:rPr>
          <w:sz w:val="17"/>
          <w:szCs w:val="17"/>
        </w:rPr>
        <w:t xml:space="preserve">Old and New Immigrants.</w:t>
      </w:r>
    </w:p>
    <w:p>
      <w:pPr>
        <w:pStyle w:val="ListParagraph"/>
        <w:numPr>
          <w:ilvl w:val="0"/>
          <w:numId w:val="2"/>
        </w:numPr>
        <w:spacing w:after="70" w:line="258"/>
      </w:pPr>
      <w:r>
        <w:rPr>
          <w:sz w:val="17"/>
          <w:szCs w:val="17"/>
        </w:rPr>
        <w:t xml:space="preserve">Entry Points and the Assimilation Process.</w:t>
      </w:r>
    </w:p>
    <w:p>
      <w:pPr>
        <w:pStyle w:val="ListParagraph"/>
        <w:numPr>
          <w:ilvl w:val="0"/>
          <w:numId w:val="2"/>
        </w:numPr>
        <w:spacing w:after="70" w:line="258"/>
      </w:pPr>
      <w:r>
        <w:rPr>
          <w:sz w:val="17"/>
          <w:szCs w:val="17"/>
        </w:rPr>
        <w:t xml:space="preserve">Push and Pull Factors.</w:t>
      </w:r>
    </w:p>
    <w:p>
      <w:pPr>
        <w:spacing w:after="120" w:line="264"/>
      </w:pPr>
      <w:r>
        <w:rPr>
          <w:b/>
          <w:bCs/>
          <w:color w:val="1F3A5F"/>
          <w:sz w:val="17"/>
          <w:szCs w:val="17"/>
        </w:rPr>
        <w:t xml:space="preserve">Connection to prior learning: </w:t>
      </w:r>
      <w:r>
        <w:rPr>
          <w:sz w:val="17"/>
          <w:szCs w:val="17"/>
        </w:rPr>
        <w:t xml:space="preserve">Builds on US.06 (Industrial Centers and Urbanization) — students carry yesterday's understanding into today's standard.</w:t>
      </w:r>
    </w:p>
    <w:p>
      <w:pPr>
        <w:spacing w:after="120" w:line="264"/>
      </w:pPr>
      <w:r>
        <w:rPr>
          <w:b/>
          <w:bCs/>
          <w:color w:val="7A1F2B"/>
          <w:sz w:val="17"/>
          <w:szCs w:val="17"/>
        </w:rPr>
        <w:t xml:space="preserve">Tennessee connection: </w:t>
      </w:r>
      <w:r>
        <w:rPr>
          <w:sz w:val="17"/>
          <w:szCs w:val="17"/>
        </w:rPr>
        <w:t xml:space="preserve">While Tennessee did not receive the same volume of immigrants as Northern cities, Memphis attracted Irish and German immigrants in the mid-1800s, and Italian immigrants settled in Memphis's 'Pinch District.' Nashville's immigrant communities contributed to the city's growth as a commercial center.</w:t>
      </w:r>
    </w:p>
    <w:p>
      <w:pPr>
        <w:pBdr>
          <w:bottom w:val="single" w:color="C9D3DD" w:sz="4" w:space="4"/>
        </w:pBdr>
        <w:spacing w:after="90" w:before="220"/>
      </w:pPr>
      <w:r>
        <w:rPr>
          <w:b/>
          <w:bCs/>
          <w:color w:val="1F3A5F"/>
          <w:sz w:val="22"/>
          <w:szCs w:val="22"/>
        </w:rPr>
        <w:t xml:space="preserve">2 · Assessment &amp; Evidence of Mastery</w:t>
      </w:r>
    </w:p>
    <w:p>
      <w:pPr>
        <w:spacing w:after="60"/>
      </w:pPr>
      <w:r>
        <w:rPr>
          <w:b/>
          <w:bCs/>
          <w:sz w:val="17"/>
          <w:szCs w:val="17"/>
        </w:rPr>
        <w:t xml:space="preserve">Measured in multiple ways (TEAM: 3+ measures with clear criteria):</w:t>
      </w:r>
    </w:p>
    <w:p>
      <w:pPr>
        <w:pStyle w:val="ListParagraph"/>
        <w:numPr>
          <w:ilvl w:val="0"/>
          <w:numId w:val="2"/>
        </w:numPr>
        <w:spacing w:after="70" w:line="258"/>
      </w:pPr>
      <w:r>
        <w:rPr>
          <w:b/>
          <w:bCs/>
          <w:sz w:val="17"/>
          <w:szCs w:val="17"/>
        </w:rPr>
        <w:t xml:space="preserve">Selected-response + short constructed: </w:t>
      </w:r>
      <w:r>
        <w:rPr>
          <w:sz w:val="17"/>
          <w:szCs w:val="17"/>
        </w:rPr>
        <w:t xml:space="preserve">US.07 Formative Assessment (with teacher answer key).</w:t>
      </w:r>
    </w:p>
    <w:p>
      <w:pPr>
        <w:pStyle w:val="ListParagraph"/>
        <w:numPr>
          <w:ilvl w:val="0"/>
          <w:numId w:val="2"/>
        </w:numPr>
        <w:spacing w:after="70" w:line="258"/>
      </w:pPr>
      <w:r>
        <w:rPr>
          <w:b/>
          <w:bCs/>
          <w:sz w:val="17"/>
          <w:szCs w:val="17"/>
        </w:rPr>
        <w:t xml:space="preserve">Extended writing: </w:t>
      </w:r>
      <w:r>
        <w:rPr>
          <w:sz w:val="17"/>
          <w:szCs w:val="17"/>
        </w:rPr>
        <w:t xml:space="preserve">CER organizer — claim, evidence, reasoning on the Immigration: Old vs. New Immigrants.</w:t>
      </w:r>
    </w:p>
    <w:p>
      <w:pPr>
        <w:pStyle w:val="ListParagraph"/>
        <w:numPr>
          <w:ilvl w:val="0"/>
          <w:numId w:val="2"/>
        </w:numPr>
        <w:spacing w:after="70" w:line="258"/>
      </w:pPr>
      <w:r>
        <w:rPr>
          <w:b/>
          <w:bCs/>
          <w:sz w:val="17"/>
          <w:szCs w:val="17"/>
        </w:rPr>
        <w:t xml:space="preserve">Primary-source analysis: </w:t>
      </w:r>
      <w:r>
        <w:rPr>
          <w:sz w:val="17"/>
          <w:szCs w:val="17"/>
        </w:rPr>
        <w:t xml:space="preserve">HIPPO organizer on “Chinese Exclusion Act” (U.S. Congress, May 6, 1882 (22 Stat. 58)).</w:t>
      </w:r>
    </w:p>
    <w:p>
      <w:pPr>
        <w:pStyle w:val="ListParagraph"/>
        <w:numPr>
          <w:ilvl w:val="0"/>
          <w:numId w:val="2"/>
        </w:numPr>
        <w:spacing w:after="70" w:line="258"/>
      </w:pPr>
      <w:r>
        <w:rPr>
          <w:b/>
          <w:bCs/>
          <w:sz w:val="17"/>
          <w:szCs w:val="17"/>
        </w:rPr>
        <w:t xml:space="preserve">Exit ticket (EN + ES): </w:t>
      </w:r>
      <w:r>
        <w:rPr>
          <w:sz w:val="17"/>
          <w:szCs w:val="17"/>
        </w:rPr>
        <w:t xml:space="preserve">2-question check for understanding, bilingual.</w:t>
      </w:r>
    </w:p>
    <w:p>
      <w:pPr>
        <w:spacing w:after="120" w:line="264"/>
      </w:pPr>
      <w:r>
        <w:rPr>
          <w:b/>
          <w:bCs/>
          <w:color w:val="1F3A5F"/>
          <w:sz w:val="17"/>
          <w:szCs w:val="17"/>
        </w:rPr>
        <w:t xml:space="preserve">Success criteria: </w:t>
      </w:r>
      <w:r>
        <w:rPr>
          <w:sz w:val="17"/>
          <w:szCs w:val="17"/>
        </w:rPr>
        <w:t xml:space="preserve">Student cites at least two specific pieces of evidence and can describe the differences between "old" and "new" immigrants, analyze the assimilation process for "new" immigrants, and determine the impacts of increased migration on American society.</w:t>
      </w:r>
    </w:p>
    <w:p>
      <w:pPr>
        <w:pBdr>
          <w:bottom w:val="single" w:color="C9D3DD" w:sz="4" w:space="4"/>
        </w:pBdr>
        <w:spacing w:after="90" w:before="220"/>
      </w:pPr>
      <w:r>
        <w:rPr>
          <w:b/>
          <w:bCs/>
          <w:color w:val="1F3A5F"/>
          <w:sz w:val="22"/>
          <w:szCs w:val="22"/>
        </w:rPr>
        <w:t xml:space="preserve">3 · Lesson Structure &amp; Pacing (47-minute Regular block)</w:t>
      </w:r>
    </w:p>
    <w:tbl>
      <w:tblPr>
        <w:tblW w:type="dxa" w:w="9360"/>
        <w:tblBorders>
          <w:top w:val="single" w:color="C9D3DD" w:sz="4"/>
          <w:left w:val="single" w:color="C9D3DD" w:sz="4"/>
          <w:bottom w:val="single" w:color="C9D3DD" w:sz="4"/>
          <w:right w:val="single" w:color="C9D3DD" w:sz="4"/>
          <w:insideH w:val="single" w:color="C9D3DD" w:sz="4"/>
          <w:insideV w:val="single" w:color="C9D3DD" w:sz="4"/>
        </w:tblBorders>
      </w:tblPr>
      <w:tblGrid>
        <w:gridCol w:w="1300"/>
        <w:gridCol w:w="4700"/>
        <w:gridCol w:w="3360"/>
      </w:tblGrid>
      <w:tr>
        <w:trPr>
          <w:tblHeader/>
        </w:trPr>
        <w:tc>
          <w:tcPr>
            <w:tcW w:type="dxa" w:w="1300"/>
            <w:shd w:fill="1F3A5F" w:color="auto" w:val="clear"/>
            <w:tcMar>
              <w:top w:type="dxa" w:w="60"/>
              <w:left w:type="dxa" w:w="100"/>
              <w:bottom w:type="dxa" w:w="60"/>
              <w:right w:type="dxa" w:w="100"/>
            </w:tcMar>
          </w:tcPr>
          <w:p>
            <w:r>
              <w:rPr>
                <w:b/>
                <w:bCs/>
                <w:color w:val="FFFFFF"/>
                <w:sz w:val="17"/>
                <w:szCs w:val="17"/>
              </w:rPr>
              <w:t xml:space="preserve">Min</w:t>
            </w:r>
          </w:p>
        </w:tc>
        <w:tc>
          <w:tcPr>
            <w:tcW w:type="dxa" w:w="4700"/>
            <w:shd w:fill="1F3A5F" w:color="auto" w:val="clear"/>
            <w:tcMar>
              <w:top w:type="dxa" w:w="60"/>
              <w:left w:type="dxa" w:w="100"/>
              <w:bottom w:type="dxa" w:w="60"/>
              <w:right w:type="dxa" w:w="100"/>
            </w:tcMar>
          </w:tcPr>
          <w:p>
            <w:r>
              <w:rPr>
                <w:b/>
                <w:bCs/>
                <w:color w:val="FFFFFF"/>
                <w:sz w:val="17"/>
                <w:szCs w:val="17"/>
              </w:rPr>
              <w:t xml:space="preserve">Segment &amp; what happens</w:t>
            </w:r>
          </w:p>
        </w:tc>
        <w:tc>
          <w:tcPr>
            <w:tcW w:type="dxa" w:w="3360"/>
            <w:shd w:fill="1F3A5F" w:color="auto" w:val="clear"/>
            <w:tcMar>
              <w:top w:type="dxa" w:w="60"/>
              <w:left w:type="dxa" w:w="100"/>
              <w:bottom w:type="dxa" w:w="60"/>
              <w:right w:type="dxa" w:w="100"/>
            </w:tcMar>
          </w:tcPr>
          <w:p>
            <w:r>
              <w:rPr>
                <w:b/>
                <w:bCs/>
                <w:color w:val="FFFFFF"/>
                <w:sz w:val="17"/>
                <w:szCs w:val="17"/>
              </w:rPr>
              <w:t xml:space="preserve">Material</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FFFFFF" w:color="auto" w:val="clear"/>
            <w:tcMar>
              <w:top w:type="dxa" w:w="60"/>
              <w:left w:type="dxa" w:w="100"/>
              <w:bottom w:type="dxa" w:w="60"/>
              <w:right w:type="dxa" w:w="100"/>
            </w:tcMar>
          </w:tcPr>
          <w:p>
            <w:r>
              <w:rPr>
                <w:sz w:val="16"/>
                <w:szCs w:val="16"/>
              </w:rPr>
              <w:t xml:space="preserve">Warm-Up / Bell-Ringer — recall Industrial Centers and Urbanization (US.06); frame today's question</w:t>
            </w:r>
          </w:p>
        </w:tc>
        <w:tc>
          <w:tcPr>
            <w:tcW w:type="dxa" w:w="3360"/>
            <w:shd w:fill="FFFFFF" w:color="auto" w:val="clear"/>
            <w:tcMar>
              <w:top w:type="dxa" w:w="60"/>
              <w:left w:type="dxa" w:w="100"/>
              <w:bottom w:type="dxa" w:w="60"/>
              <w:right w:type="dxa" w:w="100"/>
            </w:tcMar>
          </w:tcPr>
          <w:p>
            <w:r>
              <w:rPr>
                <w:sz w:val="16"/>
                <w:szCs w:val="16"/>
              </w:rPr>
              <w:t xml:space="preserve">Word Bank / Do-Now</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4</w:t>
            </w:r>
          </w:p>
        </w:tc>
        <w:tc>
          <w:tcPr>
            <w:tcW w:type="dxa" w:w="4700"/>
            <w:shd w:fill="EEF2F6" w:color="auto" w:val="clear"/>
            <w:tcMar>
              <w:top w:type="dxa" w:w="60"/>
              <w:left w:type="dxa" w:w="100"/>
              <w:bottom w:type="dxa" w:w="60"/>
              <w:right w:type="dxa" w:w="100"/>
            </w:tcMar>
          </w:tcPr>
          <w:p>
            <w:r>
              <w:rPr>
                <w:sz w:val="16"/>
                <w:szCs w:val="16"/>
              </w:rPr>
              <w:t xml:space="preserve">Hook — While Tennessee did not receive the same volume of immigrants as Northern cities, Memphis attracted Irish and German immigrants in the mid-1800s, and Italian immigrants settled in Memphis's 'Pinch District: Who gained, who was left out — and why does it still matter?</w:t>
            </w:r>
          </w:p>
        </w:tc>
        <w:tc>
          <w:tcPr>
            <w:tcW w:type="dxa" w:w="3360"/>
            <w:shd w:fill="EEF2F6" w:color="auto" w:val="clear"/>
            <w:tcMar>
              <w:top w:type="dxa" w:w="60"/>
              <w:left w:type="dxa" w:w="100"/>
              <w:bottom w:type="dxa" w:w="60"/>
              <w:right w:type="dxa" w:w="100"/>
            </w:tcMar>
          </w:tcPr>
          <w:p>
            <w:r>
              <w:rPr>
                <w:sz w:val="16"/>
                <w:szCs w:val="16"/>
              </w:rPr>
              <w:t xml:space="preserve">Teacher Deck</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12</w:t>
            </w:r>
          </w:p>
        </w:tc>
        <w:tc>
          <w:tcPr>
            <w:tcW w:type="dxa" w:w="4700"/>
            <w:shd w:fill="FFFFFF" w:color="auto" w:val="clear"/>
            <w:tcMar>
              <w:top w:type="dxa" w:w="60"/>
              <w:left w:type="dxa" w:w="100"/>
              <w:bottom w:type="dxa" w:w="60"/>
              <w:right w:type="dxa" w:w="100"/>
            </w:tcMar>
          </w:tcPr>
          <w:p>
            <w:r>
              <w:rPr>
                <w:sz w:val="16"/>
                <w:szCs w:val="16"/>
              </w:rPr>
              <w:t xml:space="preserve">Direct Instruction — teacher models close reading of the core content; students capture Cornell Notes</w:t>
            </w:r>
          </w:p>
        </w:tc>
        <w:tc>
          <w:tcPr>
            <w:tcW w:type="dxa" w:w="3360"/>
            <w:shd w:fill="FFFFFF" w:color="auto" w:val="clear"/>
            <w:tcMar>
              <w:top w:type="dxa" w:w="60"/>
              <w:left w:type="dxa" w:w="100"/>
              <w:bottom w:type="dxa" w:w="60"/>
              <w:right w:type="dxa" w:w="100"/>
            </w:tcMar>
          </w:tcPr>
          <w:p>
            <w:r>
              <w:rPr>
                <w:sz w:val="16"/>
                <w:szCs w:val="16"/>
              </w:rPr>
              <w:t xml:space="preserve">Teacher Deck + Cornell Notes</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10</w:t>
            </w:r>
          </w:p>
        </w:tc>
        <w:tc>
          <w:tcPr>
            <w:tcW w:type="dxa" w:w="4700"/>
            <w:shd w:fill="EEF2F6" w:color="auto" w:val="clear"/>
            <w:tcMar>
              <w:top w:type="dxa" w:w="60"/>
              <w:left w:type="dxa" w:w="100"/>
              <w:bottom w:type="dxa" w:w="60"/>
              <w:right w:type="dxa" w:w="100"/>
            </w:tcMar>
          </w:tcPr>
          <w:p>
            <w:r>
              <w:rPr>
                <w:sz w:val="16"/>
                <w:szCs w:val="16"/>
              </w:rPr>
              <w:t xml:space="preserve">Guided Practice — Cornell Notes + a comparison/analysis organizer</w:t>
            </w:r>
          </w:p>
        </w:tc>
        <w:tc>
          <w:tcPr>
            <w:tcW w:type="dxa" w:w="3360"/>
            <w:shd w:fill="EEF2F6" w:color="auto" w:val="clear"/>
            <w:tcMar>
              <w:top w:type="dxa" w:w="60"/>
              <w:left w:type="dxa" w:w="100"/>
              <w:bottom w:type="dxa" w:w="60"/>
              <w:right w:type="dxa" w:w="100"/>
            </w:tcMar>
          </w:tcPr>
          <w:p>
            <w:r>
              <w:rPr>
                <w:sz w:val="16"/>
                <w:szCs w:val="16"/>
              </w:rPr>
              <w:t xml:space="preserve">Cornell Notes · organizer</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11</w:t>
            </w:r>
          </w:p>
        </w:tc>
        <w:tc>
          <w:tcPr>
            <w:tcW w:type="dxa" w:w="4700"/>
            <w:shd w:fill="FFFFFF" w:color="auto" w:val="clear"/>
            <w:tcMar>
              <w:top w:type="dxa" w:w="60"/>
              <w:left w:type="dxa" w:w="100"/>
              <w:bottom w:type="dxa" w:w="60"/>
              <w:right w:type="dxa" w:w="100"/>
            </w:tcMar>
          </w:tcPr>
          <w:p>
            <w:r>
              <w:rPr>
                <w:sz w:val="16"/>
                <w:szCs w:val="16"/>
              </w:rPr>
              <w:t xml:space="preserve">Primary Source / HIPPO — analyze the source; begin CER</w:t>
            </w:r>
          </w:p>
        </w:tc>
        <w:tc>
          <w:tcPr>
            <w:tcW w:type="dxa" w:w="3360"/>
            <w:shd w:fill="FFFFFF" w:color="auto" w:val="clear"/>
            <w:tcMar>
              <w:top w:type="dxa" w:w="60"/>
              <w:left w:type="dxa" w:w="100"/>
              <w:bottom w:type="dxa" w:w="60"/>
              <w:right w:type="dxa" w:w="100"/>
            </w:tcMar>
          </w:tcPr>
          <w:p>
            <w:r>
              <w:rPr>
                <w:sz w:val="16"/>
                <w:szCs w:val="16"/>
              </w:rPr>
              <w:t xml:space="preserve">Primary-Source Packet · HIPPO · CER organizer</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EEF2F6" w:color="auto" w:val="clear"/>
            <w:tcMar>
              <w:top w:type="dxa" w:w="60"/>
              <w:left w:type="dxa" w:w="100"/>
              <w:bottom w:type="dxa" w:w="60"/>
              <w:right w:type="dxa" w:w="100"/>
            </w:tcMar>
          </w:tcPr>
          <w:p>
            <w:r>
              <w:rPr>
                <w:sz w:val="16"/>
                <w:szCs w:val="16"/>
              </w:rPr>
              <w:t xml:space="preserve">Exit Ticket &amp; Closure — 2-question check; preview the next unit</w:t>
            </w:r>
          </w:p>
        </w:tc>
        <w:tc>
          <w:tcPr>
            <w:tcW w:type="dxa" w:w="3360"/>
            <w:shd w:fill="EEF2F6" w:color="auto" w:val="clear"/>
            <w:tcMar>
              <w:top w:type="dxa" w:w="60"/>
              <w:left w:type="dxa" w:w="100"/>
              <w:bottom w:type="dxa" w:w="60"/>
              <w:right w:type="dxa" w:w="100"/>
            </w:tcMar>
          </w:tcPr>
          <w:p>
            <w:r>
              <w:rPr>
                <w:sz w:val="16"/>
                <w:szCs w:val="16"/>
              </w:rPr>
              <w:t xml:space="preserve">Exit Ticket (EN/ES)</w:t>
            </w:r>
          </w:p>
        </w:tc>
      </w:tr>
    </w:tbl>
    <w:p>
      <w:pPr>
        <w:spacing w:before="40"/>
      </w:pPr>
      <w:r>
        <w:rPr>
          <w:i/>
          <w:iCs/>
          <w:color w:val="555555"/>
          <w:sz w:val="15"/>
          <w:szCs w:val="15"/>
        </w:rPr>
        <w:t xml:space="preserve">Total: 47 minutes (segments sum-verified to the block length; auto-adjusts to 43-min Activities or 41-min Late-Start).</w:t>
      </w:r>
    </w:p>
    <w:p>
      <w:pPr>
        <w:pBdr>
          <w:bottom w:val="single" w:color="C9D3DD" w:sz="4" w:space="4"/>
        </w:pBdr>
        <w:spacing w:after="90" w:before="220"/>
      </w:pPr>
      <w:r>
        <w:rPr>
          <w:b/>
          <w:bCs/>
          <w:color w:val="1F3A5F"/>
          <w:sz w:val="22"/>
          <w:szCs w:val="22"/>
        </w:rPr>
        <w:t xml:space="preserve">4 · Activities &amp; Materials (teacher-selected)</w:t>
      </w:r>
    </w:p>
    <w:p>
      <w:pPr>
        <w:pStyle w:val="ListParagraph"/>
        <w:numPr>
          <w:ilvl w:val="0"/>
          <w:numId w:val="2"/>
        </w:numPr>
        <w:spacing w:after="70" w:line="258"/>
      </w:pPr>
      <w:r>
        <w:rPr>
          <w:sz w:val="17"/>
          <w:szCs w:val="17"/>
        </w:rPr>
        <w:t xml:space="preserve">Cornell Notes (Universal Front) — direct-teaching capture (cue / notes / summary)</w:t>
      </w:r>
    </w:p>
    <w:p>
      <w:pPr>
        <w:pStyle w:val="ListParagraph"/>
        <w:numPr>
          <w:ilvl w:val="0"/>
          <w:numId w:val="2"/>
        </w:numPr>
        <w:spacing w:after="70" w:line="258"/>
      </w:pPr>
      <w:r>
        <w:rPr>
          <w:sz w:val="17"/>
          <w:szCs w:val="17"/>
        </w:rPr>
        <w:t xml:space="preserve">Cornell Support Backs — optional MTSS scaffold; lives in the Teacher Organizer Toolkit, prints duplex behind the Cornell front, copy only as needed</w:t>
      </w:r>
    </w:p>
    <w:p>
      <w:pPr>
        <w:pStyle w:val="ListParagraph"/>
        <w:numPr>
          <w:ilvl w:val="0"/>
          <w:numId w:val="2"/>
        </w:numPr>
        <w:spacing w:after="70" w:line="258"/>
      </w:pPr>
      <w:r>
        <w:rPr>
          <w:sz w:val="17"/>
          <w:szCs w:val="17"/>
        </w:rPr>
        <w:t xml:space="preserve">Comparison / analysis organizer — structure student thinking on the core content</w:t>
      </w:r>
    </w:p>
    <w:p>
      <w:pPr>
        <w:pStyle w:val="ListParagraph"/>
        <w:numPr>
          <w:ilvl w:val="0"/>
          <w:numId w:val="2"/>
        </w:numPr>
        <w:spacing w:after="70" w:line="258"/>
      </w:pPr>
      <w:r>
        <w:rPr>
          <w:sz w:val="17"/>
          <w:szCs w:val="17"/>
        </w:rPr>
        <w:t xml:space="preserve">Primary-Source Packet + HIPPO organizer — sourcing &amp; analysis of “Chinese Exclusion Act”</w:t>
      </w:r>
    </w:p>
    <w:p>
      <w:pPr>
        <w:pStyle w:val="ListParagraph"/>
        <w:numPr>
          <w:ilvl w:val="0"/>
          <w:numId w:val="2"/>
        </w:numPr>
        <w:spacing w:after="70" w:line="258"/>
      </w:pPr>
      <w:r>
        <w:rPr>
          <w:sz w:val="17"/>
          <w:szCs w:val="17"/>
        </w:rPr>
        <w:t xml:space="preserve">CER organizer — evidence-based extended writing</w:t>
      </w:r>
    </w:p>
    <w:p>
      <w:pPr>
        <w:pStyle w:val="ListParagraph"/>
        <w:numPr>
          <w:ilvl w:val="0"/>
          <w:numId w:val="2"/>
        </w:numPr>
        <w:spacing w:after="70" w:line="258"/>
      </w:pPr>
      <w:r>
        <w:rPr>
          <w:sz w:val="17"/>
          <w:szCs w:val="17"/>
        </w:rPr>
        <w:t xml:space="preserve">Formative Assessment + Exit Ticket (EN/ES) — checks for understanding</w:t>
      </w:r>
    </w:p>
    <w:p>
      <w:pPr>
        <w:spacing w:after="120" w:line="264"/>
      </w:pPr>
      <w:r>
        <w:rPr>
          <w:b/>
          <w:bCs/>
          <w:color w:val="1F3A5F"/>
          <w:sz w:val="16"/>
          <w:szCs w:val="16"/>
        </w:rPr>
        <w:t xml:space="preserve">Word Bank (key vocabulary): </w:t>
      </w:r>
      <w:r>
        <w:rPr>
          <w:sz w:val="16"/>
          <w:szCs w:val="16"/>
        </w:rPr>
        <w:t xml:space="preserve">Old Immigrants · New Immigrants · Ellis Island · Angel Island · Push-Pull Factors · Ethnic Clusters</w:t>
      </w:r>
    </w:p>
    <w:p>
      <w:pPr>
        <w:spacing w:after="120" w:line="264"/>
      </w:pPr>
      <w:r>
        <w:rPr>
          <w:i/>
          <w:iCs/>
          <w:color w:val="555555"/>
          <w:sz w:val="16"/>
          <w:szCs w:val="16"/>
        </w:rPr>
        <w:t xml:space="preserve">Complex text, student choice (organizer format), primary sources, and student-to-student discussion are built in — satisfying the TEAM Activities &amp; Materials indicators.</w:t>
      </w:r>
    </w:p>
    <w:p>
      <w:pPr>
        <w:pBdr>
          <w:bottom w:val="single" w:color="C9D3DD" w:sz="4" w:space="4"/>
        </w:pBdr>
        <w:spacing w:after="90" w:before="220"/>
      </w:pPr>
      <w:r>
        <w:rPr>
          <w:b/>
          <w:bCs/>
          <w:color w:val="1F3A5F"/>
          <w:sz w:val="22"/>
          <w:szCs w:val="22"/>
        </w:rPr>
        <w:t xml:space="preserve">5 · Questioning Plan (DOK ladder, text-based, cite evidence)</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1500"/>
        <w:gridCol w:w="7560"/>
      </w:tblGrid>
      <w:tr>
        <w:trPr>
          <w:tblHeader/>
        </w:trPr>
        <w:tc>
          <w:tcPr>
            <w:tcW w:type="dxa" w:w="1500"/>
            <w:shd w:fill="1F3A5F" w:color="auto" w:val="clear"/>
            <w:tcMar>
              <w:top w:type="dxa" w:w="60"/>
              <w:left w:type="dxa" w:w="100"/>
              <w:bottom w:type="dxa" w:w="60"/>
              <w:right w:type="dxa" w:w="100"/>
            </w:tcMar>
          </w:tcPr>
          <w:p>
            <w:r>
              <w:rPr>
                <w:b/>
                <w:bCs/>
                <w:color w:val="FFFFFF"/>
                <w:sz w:val="17"/>
                <w:szCs w:val="17"/>
              </w:rPr>
              <w:t xml:space="preserve">Level</w:t>
            </w:r>
          </w:p>
        </w:tc>
        <w:tc>
          <w:tcPr>
            <w:tcW w:type="dxa" w:w="7560"/>
            <w:shd w:fill="1F3A5F" w:color="auto" w:val="clear"/>
            <w:tcMar>
              <w:top w:type="dxa" w:w="60"/>
              <w:left w:type="dxa" w:w="100"/>
              <w:bottom w:type="dxa" w:w="60"/>
              <w:right w:type="dxa" w:w="100"/>
            </w:tcMar>
          </w:tcPr>
          <w:p>
            <w:r>
              <w:rPr>
                <w:b/>
                <w:bCs/>
                <w:color w:val="FFFFFF"/>
                <w:sz w:val="17"/>
                <w:szCs w:val="17"/>
              </w:rPr>
              <w:t xml:space="preserve">Example question (US.07)</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1</w:t>
            </w:r>
          </w:p>
        </w:tc>
        <w:tc>
          <w:tcPr>
            <w:tcW w:type="dxa" w:w="7560"/>
            <w:shd w:fill="EEF2F6" w:color="auto" w:val="clear"/>
            <w:tcMar>
              <w:top w:type="dxa" w:w="60"/>
              <w:left w:type="dxa" w:w="100"/>
              <w:bottom w:type="dxa" w:w="60"/>
              <w:right w:type="dxa" w:w="100"/>
            </w:tcMar>
          </w:tcPr>
          <w:p>
            <w:r>
              <w:rPr>
                <w:sz w:val="16"/>
                <w:szCs w:val="16"/>
              </w:rPr>
              <w:t xml:space="preserve">Define the key term “Old Immigrants” and identify when it occurred.</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2</w:t>
            </w:r>
          </w:p>
        </w:tc>
        <w:tc>
          <w:tcPr>
            <w:tcW w:type="dxa" w:w="7560"/>
            <w:shd w:fill="FFFFFF" w:color="auto" w:val="clear"/>
            <w:tcMar>
              <w:top w:type="dxa" w:w="60"/>
              <w:left w:type="dxa" w:w="100"/>
              <w:bottom w:type="dxa" w:w="60"/>
              <w:right w:type="dxa" w:w="100"/>
            </w:tcMar>
          </w:tcPr>
          <w:p>
            <w:r>
              <w:rPr>
                <w:sz w:val="16"/>
                <w:szCs w:val="16"/>
              </w:rPr>
              <w:t xml:space="preserve">In your own words, summarize the Immigration: Old vs. New Immigrants and explain why it mattered.</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3</w:t>
            </w:r>
          </w:p>
        </w:tc>
        <w:tc>
          <w:tcPr>
            <w:tcW w:type="dxa" w:w="7560"/>
            <w:shd w:fill="EEF2F6" w:color="auto" w:val="clear"/>
            <w:tcMar>
              <w:top w:type="dxa" w:w="60"/>
              <w:left w:type="dxa" w:w="100"/>
              <w:bottom w:type="dxa" w:w="60"/>
              <w:right w:type="dxa" w:w="100"/>
            </w:tcMar>
          </w:tcPr>
          <w:p>
            <w:r>
              <w:rPr>
                <w:sz w:val="16"/>
                <w:szCs w:val="16"/>
              </w:rPr>
              <w:t xml:space="preserve">Analyze the role of Jane Addams and settlement houses in the immigrant experience.</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4</w:t>
            </w:r>
          </w:p>
        </w:tc>
        <w:tc>
          <w:tcPr>
            <w:tcW w:type="dxa" w:w="7560"/>
            <w:shd w:fill="FFFFFF" w:color="auto" w:val="clear"/>
            <w:tcMar>
              <w:top w:type="dxa" w:w="60"/>
              <w:left w:type="dxa" w:w="100"/>
              <w:bottom w:type="dxa" w:w="60"/>
              <w:right w:type="dxa" w:w="100"/>
            </w:tcMar>
          </w:tcPr>
          <w:p>
            <w:r>
              <w:rPr>
                <w:sz w:val="16"/>
                <w:szCs w:val="16"/>
              </w:rPr>
              <w:t xml:space="preserve">Evaluate the long-term impact of the Immigration: Old vs. New Immigrants — support your claim with evidence from the source(s).</w:t>
            </w:r>
          </w:p>
        </w:tc>
      </w:tr>
    </w:tbl>
    <w:p>
      <w:pPr>
        <w:spacing w:before="40"/>
      </w:pPr>
      <w:r>
        <w:rPr>
          <w:i/>
          <w:iCs/>
          <w:color w:val="555555"/>
          <w:sz w:val="15"/>
          <w:szCs w:val="15"/>
        </w:rPr>
        <w:t xml:space="preserve">Anchored to the US.07 content and item bank (DOK 1–4). Majority of questions are text-based; students cite evidence. Teacher may swap in additional bank items.</w:t>
      </w:r>
    </w:p>
    <w:p>
      <w:pPr>
        <w:pBdr>
          <w:bottom w:val="single" w:color="C9D3DD" w:sz="4" w:space="4"/>
        </w:pBdr>
        <w:spacing w:after="90" w:before="220"/>
      </w:pPr>
      <w:r>
        <w:rPr>
          <w:b/>
          <w:bCs/>
          <w:color w:val="1F3A5F"/>
          <w:sz w:val="22"/>
          <w:szCs w:val="22"/>
        </w:rPr>
        <w:t xml:space="preserve">6 · Thinking &amp; Problem-Solving</w:t>
      </w:r>
    </w:p>
    <w:p>
      <w:pPr>
        <w:pStyle w:val="ListParagraph"/>
        <w:numPr>
          <w:ilvl w:val="0"/>
          <w:numId w:val="2"/>
        </w:numPr>
        <w:spacing w:after="70" w:line="258"/>
      </w:pPr>
      <w:r>
        <w:rPr>
          <w:b/>
          <w:bCs/>
          <w:sz w:val="17"/>
          <w:szCs w:val="17"/>
        </w:rPr>
        <w:t xml:space="preserve">Analytical thinking: </w:t>
      </w:r>
      <w:r>
        <w:rPr>
          <w:sz w:val="17"/>
          <w:szCs w:val="17"/>
        </w:rPr>
        <w:t xml:space="preserve">compare and contrast perspectives within the Immigration: Old vs. New Immigrants.</w:t>
      </w:r>
    </w:p>
    <w:p>
      <w:pPr>
        <w:pStyle w:val="ListParagraph"/>
        <w:numPr>
          <w:ilvl w:val="0"/>
          <w:numId w:val="2"/>
        </w:numPr>
        <w:spacing w:after="70" w:line="258"/>
      </w:pPr>
      <w:r>
        <w:rPr>
          <w:b/>
          <w:bCs/>
          <w:sz w:val="17"/>
          <w:szCs w:val="17"/>
        </w:rPr>
        <w:t xml:space="preserve">Research-based thinking: </w:t>
      </w:r>
      <w:r>
        <w:rPr>
          <w:sz w:val="17"/>
          <w:szCs w:val="17"/>
        </w:rPr>
        <w:t xml:space="preserve">evaluate “Chinese Exclusion Act” and related sources.</w:t>
      </w:r>
    </w:p>
    <w:p>
      <w:pPr>
        <w:pStyle w:val="ListParagraph"/>
        <w:numPr>
          <w:ilvl w:val="0"/>
          <w:numId w:val="2"/>
        </w:numPr>
        <w:spacing w:after="70" w:line="258"/>
      </w:pPr>
      <w:r>
        <w:rPr>
          <w:b/>
          <w:bCs/>
          <w:sz w:val="17"/>
          <w:szCs w:val="17"/>
        </w:rPr>
        <w:t xml:space="preserve">Problem-solving (drawing conclusions / justifying): </w:t>
      </w:r>
      <w:r>
        <w:rPr>
          <w:sz w:val="17"/>
          <w:szCs w:val="17"/>
        </w:rPr>
        <w:t xml:space="preserve">students build and defend a claim in the CER.</w:t>
      </w:r>
    </w:p>
    <w:p>
      <w:pPr>
        <w:pBdr>
          <w:bottom w:val="single" w:color="C9D3DD" w:sz="4" w:space="4"/>
        </w:pBdr>
        <w:spacing w:after="90" w:before="220"/>
      </w:pPr>
      <w:r>
        <w:rPr>
          <w:b/>
          <w:bCs/>
          <w:color w:val="1F3A5F"/>
          <w:sz w:val="22"/>
          <w:szCs w:val="22"/>
        </w:rPr>
        <w:t xml:space="preserve">7 · Grouping &amp; Feedback  [teacher selects]</w:t>
      </w:r>
    </w:p>
    <w:p>
      <w:pPr>
        <w:pStyle w:val="ListParagraph"/>
        <w:numPr>
          <w:ilvl w:val="0"/>
          <w:numId w:val="2"/>
        </w:numPr>
        <w:spacing w:after="70" w:line="258"/>
      </w:pPr>
      <w:r>
        <w:rPr>
          <w:b/>
          <w:bCs/>
          <w:sz w:val="17"/>
          <w:szCs w:val="17"/>
        </w:rPr>
        <w:t xml:space="preserve">Grouping: </w:t>
      </w:r>
      <w:r>
        <w:rPr>
          <w:sz w:val="17"/>
          <w:szCs w:val="17"/>
        </w:rPr>
        <w:t xml:space="preserve">pairs for the CER organizer; whole-class for the primary-source model; individual exit ticket.</w:t>
      </w:r>
    </w:p>
    <w:p>
      <w:pPr>
        <w:pStyle w:val="ListParagraph"/>
        <w:numPr>
          <w:ilvl w:val="0"/>
          <w:numId w:val="2"/>
        </w:numPr>
        <w:spacing w:after="70" w:line="258"/>
      </w:pPr>
      <w:r>
        <w:rPr>
          <w:b/>
          <w:bCs/>
          <w:sz w:val="17"/>
          <w:szCs w:val="17"/>
        </w:rPr>
        <w:t xml:space="preserve">Feedback checkpoints: </w:t>
      </w:r>
      <w:r>
        <w:rPr>
          <w:sz w:val="17"/>
          <w:szCs w:val="17"/>
        </w:rPr>
        <w:t xml:space="preserve">circulate during Guided Practice and Primary-Source segments; use exit-ticket results to adjust tomorrow's opening.</w:t>
      </w:r>
    </w:p>
    <w:p>
      <w:pPr>
        <w:pBdr>
          <w:bottom w:val="single" w:color="C9D3DD" w:sz="4" w:space="4"/>
        </w:pBdr>
        <w:spacing w:after="90" w:before="220"/>
      </w:pPr>
      <w:r>
        <w:rPr>
          <w:b/>
          <w:bCs/>
          <w:color w:val="1F3A5F"/>
          <w:sz w:val="22"/>
          <w:szCs w:val="22"/>
        </w:rPr>
        <w:t xml:space="preserve">8 · Differentiation (Knowledge of Students)</w:t>
      </w:r>
    </w:p>
    <w:p>
      <w:pPr>
        <w:pStyle w:val="ListParagraph"/>
        <w:numPr>
          <w:ilvl w:val="0"/>
          <w:numId w:val="2"/>
        </w:numPr>
        <w:spacing w:after="70" w:line="258"/>
      </w:pPr>
      <w:r>
        <w:rPr>
          <w:b/>
          <w:bCs/>
          <w:sz w:val="17"/>
          <w:szCs w:val="17"/>
        </w:rPr>
        <w:t xml:space="preserve">ELL / WIDA: </w:t>
      </w:r>
      <w:r>
        <w:rPr>
          <w:sz w:val="17"/>
          <w:szCs w:val="17"/>
        </w:rPr>
        <w:t xml:space="preserve">UDL/WIDA overlay + sentence frames; Spanish exit ticket for entering/emerging levels.</w:t>
      </w:r>
    </w:p>
    <w:p>
      <w:pPr>
        <w:pStyle w:val="ListParagraph"/>
        <w:numPr>
          <w:ilvl w:val="0"/>
          <w:numId w:val="2"/>
        </w:numPr>
        <w:spacing w:after="70" w:line="258"/>
      </w:pPr>
      <w:r>
        <w:rPr>
          <w:b/>
          <w:bCs/>
          <w:sz w:val="17"/>
          <w:szCs w:val="17"/>
        </w:rPr>
        <w:t xml:space="preserve">IEP / 504: </w:t>
      </w:r>
      <w:r>
        <w:rPr>
          <w:sz w:val="17"/>
          <w:szCs w:val="17"/>
        </w:rPr>
        <w:t xml:space="preserve">chunked Cornell Notes (with the support back), extended time, read-aloud (browser TTS), reduced-item formative option.</w:t>
      </w:r>
    </w:p>
    <w:p>
      <w:pPr>
        <w:pBdr>
          <w:bottom w:val="single" w:color="C9D3DD" w:sz="4" w:space="4"/>
        </w:pBdr>
        <w:spacing w:after="90" w:before="220"/>
      </w:pPr>
      <w:r>
        <w:rPr>
          <w:b/>
          <w:bCs/>
          <w:color w:val="1F3A5F"/>
          <w:sz w:val="22"/>
          <w:szCs w:val="22"/>
        </w:rPr>
        <w:t xml:space="preserve">9 · Environment Reminders (teacher-implemented)</w:t>
      </w:r>
    </w:p>
    <w:p>
      <w:pPr>
        <w:spacing w:after="60"/>
      </w:pPr>
      <w:r>
        <w:rPr>
          <w:i/>
          <w:iCs/>
          <w:color w:val="555555"/>
          <w:sz w:val="16"/>
          <w:szCs w:val="16"/>
        </w:rPr>
        <w:t xml:space="preserve">A lesson plan supports — but cannot manufacture — the TEAM Environment domain. Reminders:</w:t>
      </w:r>
    </w:p>
    <w:p>
      <w:pPr>
        <w:pStyle w:val="ListParagraph"/>
        <w:numPr>
          <w:ilvl w:val="0"/>
          <w:numId w:val="2"/>
        </w:numPr>
        <w:spacing w:after="70" w:line="258"/>
      </w:pPr>
      <w:r>
        <w:rPr>
          <w:sz w:val="17"/>
          <w:szCs w:val="17"/>
        </w:rPr>
        <w:t xml:space="preserve">Set high expectations; frame content with dignity and historical accuracy.</w:t>
      </w:r>
    </w:p>
    <w:p>
      <w:pPr>
        <w:pStyle w:val="ListParagraph"/>
        <w:numPr>
          <w:ilvl w:val="0"/>
          <w:numId w:val="2"/>
        </w:numPr>
        <w:spacing w:after="70" w:line="258"/>
      </w:pPr>
      <w:r>
        <w:rPr>
          <w:sz w:val="17"/>
          <w:szCs w:val="17"/>
        </w:rPr>
        <w:t xml:space="preserve">Establish discussion norms before the primary-source analysis.</w:t>
      </w:r>
    </w:p>
    <w:p>
      <w:pPr>
        <w:pStyle w:val="ListParagraph"/>
        <w:numPr>
          <w:ilvl w:val="0"/>
          <w:numId w:val="2"/>
        </w:numPr>
        <w:spacing w:after="70" w:line="258"/>
      </w:pPr>
      <w:r>
        <w:rPr>
          <w:sz w:val="17"/>
          <w:szCs w:val="17"/>
        </w:rPr>
        <w:t xml:space="preserve">Display current student work; keep materials accessible for the pair activity.</w:t>
      </w:r>
    </w:p>
    <w:p>
      <w:pPr>
        <w:pBdr>
          <w:bottom w:val="single" w:color="C9D3DD" w:sz="4" w:space="4"/>
        </w:pBdr>
        <w:spacing w:after="90" w:before="220"/>
      </w:pPr>
      <w:r>
        <w:rPr>
          <w:b/>
          <w:bCs/>
          <w:color w:val="1F3A5F"/>
          <w:sz w:val="22"/>
          <w:szCs w:val="22"/>
        </w:rPr>
        <w:t xml:space="preserve">10 · Materials &amp; Where to Print</w:t>
      </w:r>
    </w:p>
    <w:p>
      <w:pPr>
        <w:spacing w:after="60"/>
      </w:pPr>
      <w:r>
        <w:rPr>
          <w:b/>
          <w:bCs/>
          <w:sz w:val="17"/>
          <w:szCs w:val="17"/>
        </w:rPr>
        <w:t xml:space="preserve">Included in today's print ZIP </w:t>
      </w:r>
      <w:r>
        <w:rPr>
          <w:sz w:val="17"/>
          <w:szCs w:val="17"/>
        </w:rPr>
        <w:t xml:space="preserve">(US.07 — print-ready PDF + editable DOCX):</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4530"/>
        <w:gridCol w:w="4530"/>
      </w:tblGrid>
      <w:tr>
        <w:trPr>
          <w:tblHeader/>
        </w:trPr>
        <w:tc>
          <w:tcPr>
            <w:tcW w:type="dxa" w:w="4530"/>
            <w:shd w:fill="1F3A5F" w:color="auto" w:val="clear"/>
            <w:tcMar>
              <w:top w:type="dxa" w:w="60"/>
              <w:left w:type="dxa" w:w="100"/>
              <w:bottom w:type="dxa" w:w="60"/>
              <w:right w:type="dxa" w:w="100"/>
            </w:tcMar>
          </w:tcPr>
          <w:p>
            <w:r>
              <w:rPr>
                <w:b/>
                <w:bCs/>
                <w:color w:val="FFFFFF"/>
                <w:sz w:val="17"/>
                <w:szCs w:val="17"/>
              </w:rPr>
              <w:t xml:space="preserve">Student (print &amp; copy)</w:t>
            </w:r>
          </w:p>
        </w:tc>
        <w:tc>
          <w:tcPr>
            <w:tcW w:type="dxa" w:w="4530"/>
            <w:shd w:fill="1F3A5F" w:color="auto" w:val="clear"/>
            <w:tcMar>
              <w:top w:type="dxa" w:w="60"/>
              <w:left w:type="dxa" w:w="100"/>
              <w:bottom w:type="dxa" w:w="60"/>
              <w:right w:type="dxa" w:w="100"/>
            </w:tcMar>
          </w:tcPr>
          <w:p>
            <w:r>
              <w:rPr>
                <w:b/>
                <w:bCs/>
                <w:color w:val="FFFFFF"/>
                <w:sz w:val="17"/>
                <w:szCs w:val="17"/>
              </w:rPr>
              <w:t xml:space="preserve">Teacher (your copy)</w:t>
            </w:r>
          </w:p>
        </w:tc>
      </w:tr>
      <w:tr>
        <w:tc>
          <w:tcPr>
            <w:tcW w:type="dxa" w:w="4530"/>
            <w:shd w:fill="EEF2F6" w:color="auto" w:val="clear"/>
            <w:tcMar>
              <w:top w:type="dxa" w:w="60"/>
              <w:left w:type="dxa" w:w="100"/>
              <w:bottom w:type="dxa" w:w="60"/>
              <w:right w:type="dxa" w:w="100"/>
            </w:tcMar>
          </w:tcPr>
          <w:p>
            <w:r>
              <w:rPr>
                <w:color w:val="222222"/>
                <w:sz w:val="16"/>
                <w:szCs w:val="16"/>
              </w:rPr>
              <w:t xml:space="preserve">Vocabulary — Word Bank</w:t>
            </w:r>
          </w:p>
        </w:tc>
        <w:tc>
          <w:tcPr>
            <w:tcW w:type="dxa" w:w="4530"/>
            <w:shd w:fill="EEF2F6" w:color="auto" w:val="clear"/>
            <w:tcMar>
              <w:top w:type="dxa" w:w="60"/>
              <w:left w:type="dxa" w:w="100"/>
              <w:bottom w:type="dxa" w:w="60"/>
              <w:right w:type="dxa" w:w="100"/>
            </w:tcMar>
          </w:tcPr>
          <w:p>
            <w:r>
              <w:rPr>
                <w:color w:val="222222"/>
                <w:sz w:val="16"/>
                <w:szCs w:val="16"/>
              </w:rPr>
              <w:t xml:space="preserve">Teacher Lesson Plan (this doc)</w:t>
            </w:r>
          </w:p>
        </w:tc>
      </w:tr>
      <w:tr>
        <w:tc>
          <w:tcPr>
            <w:tcW w:type="dxa" w:w="4530"/>
            <w:shd w:fill="FFFFFF" w:color="auto" w:val="clear"/>
            <w:tcMar>
              <w:top w:type="dxa" w:w="60"/>
              <w:left w:type="dxa" w:w="100"/>
              <w:bottom w:type="dxa" w:w="60"/>
              <w:right w:type="dxa" w:w="100"/>
            </w:tcMar>
          </w:tcPr>
          <w:p>
            <w:r>
              <w:rPr>
                <w:color w:val="222222"/>
                <w:sz w:val="16"/>
                <w:szCs w:val="16"/>
              </w:rPr>
              <w:t xml:space="preserve">Vocabulary Studio</w:t>
            </w:r>
          </w:p>
        </w:tc>
        <w:tc>
          <w:tcPr>
            <w:tcW w:type="dxa" w:w="4530"/>
            <w:shd w:fill="FFFFFF" w:color="auto" w:val="clear"/>
            <w:tcMar>
              <w:top w:type="dxa" w:w="60"/>
              <w:left w:type="dxa" w:w="100"/>
              <w:bottom w:type="dxa" w:w="60"/>
              <w:right w:type="dxa" w:w="100"/>
            </w:tcMar>
          </w:tcPr>
          <w:p>
            <w:r>
              <w:rPr>
                <w:color w:val="222222"/>
                <w:sz w:val="16"/>
                <w:szCs w:val="16"/>
              </w:rPr>
              <w:t xml:space="preserve">Cornell Support Backs — toolkit (copy as needed, MTSS)</w:t>
            </w:r>
          </w:p>
        </w:tc>
      </w:tr>
      <w:tr>
        <w:tc>
          <w:tcPr>
            <w:tcW w:type="dxa" w:w="4530"/>
            <w:shd w:fill="EEF2F6" w:color="auto" w:val="clear"/>
            <w:tcMar>
              <w:top w:type="dxa" w:w="60"/>
              <w:left w:type="dxa" w:w="100"/>
              <w:bottom w:type="dxa" w:w="60"/>
              <w:right w:type="dxa" w:w="100"/>
            </w:tcMar>
          </w:tcPr>
          <w:p>
            <w:r>
              <w:rPr>
                <w:color w:val="222222"/>
                <w:sz w:val="16"/>
                <w:szCs w:val="16"/>
              </w:rPr>
              <w:t xml:space="preserve">Cornell Notes (Universal Front)</w:t>
            </w:r>
          </w:p>
        </w:tc>
        <w:tc>
          <w:tcPr>
            <w:tcW w:type="dxa" w:w="4530"/>
            <w:shd w:fill="EEF2F6" w:color="auto" w:val="clear"/>
            <w:tcMar>
              <w:top w:type="dxa" w:w="60"/>
              <w:left w:type="dxa" w:w="100"/>
              <w:bottom w:type="dxa" w:w="60"/>
              <w:right w:type="dxa" w:w="100"/>
            </w:tcMar>
          </w:tcPr>
          <w:p>
            <w:r>
              <w:rPr>
                <w:color w:val="222222"/>
                <w:sz w:val="16"/>
                <w:szCs w:val="16"/>
              </w:rPr>
              <w:t xml:space="preserve">Formative Assessment — Answer Key</w:t>
            </w:r>
          </w:p>
        </w:tc>
      </w:tr>
      <w:tr>
        <w:tc>
          <w:tcPr>
            <w:tcW w:type="dxa" w:w="4530"/>
            <w:shd w:fill="FFFFFF" w:color="auto" w:val="clear"/>
            <w:tcMar>
              <w:top w:type="dxa" w:w="60"/>
              <w:left w:type="dxa" w:w="100"/>
              <w:bottom w:type="dxa" w:w="60"/>
              <w:right w:type="dxa" w:w="100"/>
            </w:tcMar>
          </w:tcPr>
          <w:p>
            <w:r>
              <w:rPr>
                <w:color w:val="222222"/>
                <w:sz w:val="16"/>
                <w:szCs w:val="16"/>
              </w:rPr>
              <w:t xml:space="preserve">Close Read</w:t>
            </w:r>
          </w:p>
        </w:tc>
        <w:tc>
          <w:tcPr>
            <w:tcW w:type="dxa" w:w="4530"/>
            <w:shd w:fill="FFFFFF" w:color="auto" w:val="clear"/>
            <w:tcMar>
              <w:top w:type="dxa" w:w="60"/>
              <w:left w:type="dxa" w:w="100"/>
              <w:bottom w:type="dxa" w:w="60"/>
              <w:right w:type="dxa" w:w="100"/>
            </w:tcMar>
          </w:tcPr>
          <w:p>
            <w:r>
              <w:rPr>
                <w:color w:val="222222"/>
                <w:sz w:val="16"/>
                <w:szCs w:val="16"/>
              </w:rPr>
              <w:t xml:space="preserve">Primary-Source Teacher Guide</w:t>
            </w:r>
          </w:p>
        </w:tc>
      </w:tr>
      <w:tr>
        <w:tc>
          <w:tcPr>
            <w:tcW w:type="dxa" w:w="4530"/>
            <w:shd w:fill="EEF2F6" w:color="auto" w:val="clear"/>
            <w:tcMar>
              <w:top w:type="dxa" w:w="60"/>
              <w:left w:type="dxa" w:w="100"/>
              <w:bottom w:type="dxa" w:w="60"/>
              <w:right w:type="dxa" w:w="100"/>
            </w:tcMar>
          </w:tcPr>
          <w:p>
            <w:r>
              <w:rPr>
                <w:color w:val="222222"/>
                <w:sz w:val="16"/>
                <w:szCs w:val="16"/>
              </w:rPr>
              <w:t xml:space="preserve">Primary Source / Data Analysis + HIPPO</w:t>
            </w:r>
          </w:p>
        </w:tc>
        <w:tc>
          <w:tcPr>
            <w:tcW w:type="dxa" w:w="4530"/>
            <w:shd w:fill="EEF2F6" w:color="auto" w:val="clear"/>
            <w:tcMar>
              <w:top w:type="dxa" w:w="60"/>
              <w:left w:type="dxa" w:w="100"/>
              <w:bottom w:type="dxa" w:w="60"/>
              <w:right w:type="dxa" w:w="100"/>
            </w:tcMar>
          </w:tcPr>
          <w:p>
            <w:r>
              <w:rPr>
                <w:color w:val="222222"/>
                <w:sz w:val="16"/>
                <w:szCs w:val="16"/>
              </w:rPr>
              <w:t xml:space="preserve">UDL / WIDA overlay</w:t>
            </w:r>
          </w:p>
        </w:tc>
      </w:tr>
      <w:tr>
        <w:tc>
          <w:tcPr>
            <w:tcW w:type="dxa" w:w="4530"/>
            <w:shd w:fill="FFFFFF" w:color="auto" w:val="clear"/>
            <w:tcMar>
              <w:top w:type="dxa" w:w="60"/>
              <w:left w:type="dxa" w:w="100"/>
              <w:bottom w:type="dxa" w:w="60"/>
              <w:right w:type="dxa" w:w="100"/>
            </w:tcMar>
          </w:tcPr>
          <w:p>
            <w:r>
              <w:rPr>
                <w:color w:val="222222"/>
                <w:sz w:val="16"/>
                <w:szCs w:val="16"/>
              </w:rPr>
              <w:t xml:space="preserve">Core Application — Practice Quiz</w:t>
            </w:r>
          </w:p>
        </w:tc>
        <w:tc>
          <w:tcPr>
            <w:tcW w:type="dxa" w:w="4530"/>
            <w:shd w:fill="FFFFFF" w:color="auto" w:val="clear"/>
            <w:tcMar>
              <w:top w:type="dxa" w:w="60"/>
              <w:left w:type="dxa" w:w="100"/>
              <w:bottom w:type="dxa" w:w="60"/>
              <w:right w:type="dxa" w:w="100"/>
            </w:tcMar>
          </w:tcPr>
          <w:p>
            <w:r>
              <w:rPr>
                <w:color w:val="222222"/>
                <w:sz w:val="16"/>
                <w:szCs w:val="16"/>
              </w:rPr>
              <w:t xml:space="preserve">File Map &amp; Print Guide</w:t>
            </w:r>
          </w:p>
        </w:tc>
      </w:tr>
      <w:tr>
        <w:tc>
          <w:tcPr>
            <w:tcW w:type="dxa" w:w="4530"/>
            <w:shd w:fill="EEF2F6" w:color="auto" w:val="clear"/>
            <w:tcMar>
              <w:top w:type="dxa" w:w="60"/>
              <w:left w:type="dxa" w:w="100"/>
              <w:bottom w:type="dxa" w:w="60"/>
              <w:right w:type="dxa" w:w="100"/>
            </w:tcMar>
          </w:tcPr>
          <w:p>
            <w:r>
              <w:rPr>
                <w:color w:val="222222"/>
                <w:sz w:val="16"/>
                <w:szCs w:val="16"/>
              </w:rPr>
              <w:t xml:space="preserve">Constructed Response (CER)</w:t>
            </w:r>
          </w:p>
        </w:tc>
        <w:tc>
          <w:tcPr>
            <w:tcW w:type="dxa" w:w="4530"/>
            <w:shd w:fill="EEF2F6" w:color="auto" w:val="clear"/>
            <w:tcMar>
              <w:top w:type="dxa" w:w="60"/>
              <w:left w:type="dxa" w:w="100"/>
              <w:bottom w:type="dxa" w:w="60"/>
              <w:right w:type="dxa" w:w="100"/>
            </w:tcMar>
          </w:tcPr>
          <w:p>
            <w:r>
              <w:rPr>
                <w:color w:val="FFFFFF"/>
                <w:sz w:val="16"/>
                <w:szCs w:val="16"/>
              </w:rPr>
              <w:t xml:space="preserve"/>
            </w:r>
          </w:p>
        </w:tc>
      </w:tr>
      <w:tr>
        <w:tc>
          <w:tcPr>
            <w:tcW w:type="dxa" w:w="4530"/>
            <w:shd w:fill="FFFFFF" w:color="auto" w:val="clear"/>
            <w:tcMar>
              <w:top w:type="dxa" w:w="60"/>
              <w:left w:type="dxa" w:w="100"/>
              <w:bottom w:type="dxa" w:w="60"/>
              <w:right w:type="dxa" w:w="100"/>
            </w:tcMar>
          </w:tcPr>
          <w:p>
            <w:r>
              <w:rPr>
                <w:color w:val="222222"/>
                <w:sz w:val="16"/>
                <w:szCs w:val="16"/>
              </w:rPr>
              <w:t xml:space="preserve">Exit Ticket — English &amp; Spanish</w:t>
            </w:r>
          </w:p>
        </w:tc>
        <w:tc>
          <w:tcPr>
            <w:tcW w:type="dxa" w:w="4530"/>
            <w:shd w:fill="FFFFFF" w:color="auto" w:val="clear"/>
            <w:tcMar>
              <w:top w:type="dxa" w:w="60"/>
              <w:left w:type="dxa" w:w="100"/>
              <w:bottom w:type="dxa" w:w="60"/>
              <w:right w:type="dxa" w:w="100"/>
            </w:tcMar>
          </w:tcPr>
          <w:p>
            <w:r>
              <w:rPr>
                <w:color w:val="FFFFFF"/>
                <w:sz w:val="16"/>
                <w:szCs w:val="16"/>
              </w:rPr>
              <w:t xml:space="preserve"/>
            </w:r>
          </w:p>
        </w:tc>
      </w:tr>
    </w:tbl>
    <w:p>
      <w:pPr>
        <w:spacing w:before="40"/>
      </w:pPr>
      <w:r>
        <w:rPr>
          <w:i/>
          <w:iCs/>
          <w:color w:val="555555"/>
          <w:sz w:val="15"/>
          <w:szCs w:val="15"/>
        </w:rPr>
        <w:t xml:space="preserve">Note: students print the Cornell Notes Universal Front. The Cornell Support Backs (Guided/Light scaffolds) live in the Teacher Organizer Toolkit and print duplex on the reverse — copy them only for students who need them (MTSS), and fade as evidence grows.</w:t>
      </w:r>
    </w:p>
    <w:p>
      <w:pPr>
        <w:spacing w:after="40" w:before="100"/>
      </w:pPr>
      <w:r>
        <w:rPr>
          <w:b/>
          <w:bCs/>
          <w:color w:val="1F3A5F"/>
          <w:sz w:val="17"/>
          <w:szCs w:val="17"/>
        </w:rPr>
        <w:t xml:space="preserve">Slides (download once for the unit):</w:t>
      </w:r>
    </w:p>
    <w:p>
      <w:pPr>
        <w:spacing w:after="120" w:line="264"/>
      </w:pPr>
      <w:r>
        <w:rPr>
          <w:sz w:val="16"/>
          <w:szCs w:val="16"/>
        </w:rPr>
        <w:t xml:space="preserve">Unit 1 Teacher Deck — US.07 slides. Download from Teacher Tools → Lecture Decks → Unit 1. (Decks are reused all unit, so they are not bundled in the daily ZIP.)</w:t>
      </w:r>
    </w:p>
    <w:p>
      <w:pPr>
        <w:pBdr>
          <w:bottom w:val="single" w:color="C9D3DD" w:sz="4" w:space="4"/>
        </w:pBdr>
        <w:spacing w:after="90" w:before="220"/>
      </w:pPr>
      <w:r>
        <w:rPr>
          <w:b/>
          <w:bCs/>
          <w:color w:val="1F3A5F"/>
          <w:sz w:val="22"/>
          <w:szCs w:val="22"/>
        </w:rPr>
        <w:t xml:space="preserve">11 · Reflection &amp; Next Steps</w:t>
      </w:r>
    </w:p>
    <w:p>
      <w:pPr>
        <w:spacing w:after="60"/>
      </w:pPr>
      <w:r>
        <w:rPr>
          <w:b/>
          <w:bCs/>
          <w:color w:val="1F3A5F"/>
          <w:sz w:val="17"/>
          <w:szCs w:val="17"/>
        </w:rPr>
        <w:t xml:space="preserve">Teacher reflection (complete after teaching):</w:t>
      </w:r>
    </w:p>
    <w:p>
      <w:pPr>
        <w:pStyle w:val="ListParagraph"/>
        <w:numPr>
          <w:ilvl w:val="0"/>
          <w:numId w:val="2"/>
        </w:numPr>
        <w:spacing w:after="70" w:line="258"/>
      </w:pPr>
      <w:r>
        <w:rPr>
          <w:sz w:val="17"/>
          <w:szCs w:val="17"/>
        </w:rPr>
        <w:t xml:space="preserve">Did students meet the I-CAN? Cite the evidence — exit-ticket % correct, CER quality.</w:t>
      </w:r>
    </w:p>
    <w:p>
      <w:pPr>
        <w:pStyle w:val="ListParagraph"/>
        <w:numPr>
          <w:ilvl w:val="0"/>
          <w:numId w:val="2"/>
        </w:numPr>
        <w:spacing w:after="70" w:line="258"/>
      </w:pPr>
      <w:r>
        <w:rPr>
          <w:sz w:val="17"/>
          <w:szCs w:val="17"/>
        </w:rPr>
        <w:t xml:space="preserve">What worked, and what would I change next time?</w:t>
      </w:r>
    </w:p>
    <w:p>
      <w:pPr>
        <w:pStyle w:val="ListParagraph"/>
        <w:numPr>
          <w:ilvl w:val="0"/>
          <w:numId w:val="2"/>
        </w:numPr>
        <w:spacing w:after="70" w:line="258"/>
      </w:pPr>
      <w:r>
        <w:rPr>
          <w:sz w:val="17"/>
          <w:szCs w:val="17"/>
        </w:rPr>
        <w:t xml:space="preserve">Which sub-objective still needs another touch tomorrow?</w:t>
      </w:r>
    </w:p>
    <w:p>
      <w:pPr>
        <w:spacing w:after="60" w:before="40"/>
      </w:pPr>
      <w:r>
        <w:rPr>
          <w:b/>
          <w:bCs/>
          <w:color w:val="1F3A5F"/>
          <w:sz w:val="17"/>
          <w:szCs w:val="17"/>
        </w:rPr>
        <w:t xml:space="preserve">Extension / enrichment </w:t>
      </w:r>
      <w:r>
        <w:rPr>
          <w:sz w:val="17"/>
          <w:szCs w:val="17"/>
        </w:rPr>
        <w:t xml:space="preserve">(for students who mastered it):</w:t>
      </w:r>
    </w:p>
    <w:p>
      <w:pPr>
        <w:pStyle w:val="ListParagraph"/>
        <w:numPr>
          <w:ilvl w:val="0"/>
          <w:numId w:val="2"/>
        </w:numPr>
        <w:spacing w:after="70" w:line="258"/>
      </w:pPr>
      <w:r>
        <w:rPr>
          <w:sz w:val="17"/>
          <w:szCs w:val="17"/>
        </w:rPr>
        <w:t xml:space="preserve">Deeper source work: analyze a second primary source with the HIPPO organizer.</w:t>
      </w:r>
    </w:p>
    <w:p>
      <w:pPr>
        <w:pStyle w:val="ListParagraph"/>
        <w:numPr>
          <w:ilvl w:val="0"/>
          <w:numId w:val="2"/>
        </w:numPr>
        <w:spacing w:after="70" w:line="258"/>
      </w:pPr>
      <w:r>
        <w:rPr>
          <w:sz w:val="17"/>
          <w:szCs w:val="17"/>
        </w:rPr>
        <w:t xml:space="preserve">Connect forward: how does this standard set up the next unit?</w:t>
      </w:r>
    </w:p>
    <w:p>
      <w:pPr>
        <w:spacing w:after="60" w:before="40"/>
      </w:pPr>
      <w:r>
        <w:rPr>
          <w:b/>
          <w:bCs/>
          <w:color w:val="7A1F2B"/>
          <w:sz w:val="17"/>
          <w:szCs w:val="17"/>
        </w:rPr>
        <w:t xml:space="preserve">If it's not working </w:t>
      </w:r>
      <w:r>
        <w:rPr>
          <w:sz w:val="17"/>
          <w:szCs w:val="17"/>
        </w:rPr>
        <w:t xml:space="preserve">(reteach / intervention path):</w:t>
      </w:r>
    </w:p>
    <w:p>
      <w:pPr>
        <w:pStyle w:val="ListParagraph"/>
        <w:numPr>
          <w:ilvl w:val="0"/>
          <w:numId w:val="2"/>
        </w:numPr>
        <w:spacing w:after="70" w:line="258"/>
      </w:pPr>
      <w:r>
        <w:rPr>
          <w:sz w:val="17"/>
          <w:szCs w:val="17"/>
        </w:rPr>
        <w:t xml:space="preserve">Below ~70% mastery on the exit ticket / formative → reteach with entry-tier materials (Cornell Notes + the Cornell Support Back + a shorter source) in a small group — MTSS Tier 2.</w:t>
      </w:r>
    </w:p>
    <w:p>
      <w:pPr>
        <w:pStyle w:val="ListParagraph"/>
        <w:numPr>
          <w:ilvl w:val="0"/>
          <w:numId w:val="2"/>
        </w:numPr>
        <w:spacing w:after="70" w:line="258"/>
      </w:pPr>
      <w:r>
        <w:rPr>
          <w:b/>
          <w:bCs/>
          <w:sz w:val="17"/>
          <w:szCs w:val="17"/>
        </w:rPr>
        <w:t xml:space="preserve">One click — “Remediate US.07”: </w:t>
      </w:r>
      <w:r>
        <w:rPr>
          <w:sz w:val="17"/>
          <w:szCs w:val="17"/>
        </w:rPr>
        <w:t xml:space="preserve">assembles a reteach pack (entry-tier worksheet, targeted DOK 1–2 questions, ELL/IEP supports) as a fresh print ZIP.</w:t>
      </w:r>
    </w:p>
    <w:p>
      <w:pPr>
        <w:pStyle w:val="ListParagraph"/>
        <w:numPr>
          <w:ilvl w:val="0"/>
          <w:numId w:val="2"/>
        </w:numPr>
        <w:spacing w:after="70" w:line="258"/>
      </w:pPr>
      <w:r>
        <w:rPr>
          <w:b/>
          <w:bCs/>
          <w:sz w:val="17"/>
          <w:szCs w:val="17"/>
        </w:rPr>
        <w:t xml:space="preserve">Mid-lesson trouble: </w:t>
      </w:r>
      <w:r>
        <w:rPr>
          <w:sz w:val="17"/>
          <w:szCs w:val="17"/>
        </w:rPr>
        <w:t xml:space="preserve">if pacing slips, protect the 5-min Exit Ticket — it's tomorrow's data — and move the CER to homework or the next day.</w:t>
      </w:r>
    </w:p>
    <w:p>
      <w:pPr>
        <w:pBdr>
          <w:bottom w:val="single" w:color="C9D3DD" w:sz="4" w:space="4"/>
        </w:pBdr>
        <w:spacing w:after="90" w:before="220"/>
      </w:pPr>
      <w:r>
        <w:rPr>
          <w:b/>
          <w:bCs/>
          <w:color w:val="1F3A5F"/>
          <w:sz w:val="22"/>
          <w:szCs w:val="22"/>
        </w:rPr>
        <w:t xml:space="preserve">Appendix · How this plan maps to the TEAM rubric</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3600"/>
        <w:gridCol w:w="5460"/>
      </w:tblGrid>
      <w:tr>
        <w:trPr>
          <w:tblHeader/>
        </w:trPr>
        <w:tc>
          <w:tcPr>
            <w:tcW w:type="dxa" w:w="3600"/>
            <w:shd w:fill="1F3A5F" w:color="auto" w:val="clear"/>
            <w:tcMar>
              <w:top w:type="dxa" w:w="60"/>
              <w:left w:type="dxa" w:w="100"/>
              <w:bottom w:type="dxa" w:w="60"/>
              <w:right w:type="dxa" w:w="100"/>
            </w:tcMar>
          </w:tcPr>
          <w:p>
            <w:r>
              <w:rPr>
                <w:b/>
                <w:bCs/>
                <w:color w:val="FFFFFF"/>
                <w:sz w:val="17"/>
                <w:szCs w:val="17"/>
              </w:rPr>
              <w:t xml:space="preserve">TEAM indicator</w:t>
            </w:r>
          </w:p>
        </w:tc>
        <w:tc>
          <w:tcPr>
            <w:tcW w:type="dxa" w:w="5460"/>
            <w:shd w:fill="1F3A5F" w:color="auto" w:val="clear"/>
            <w:tcMar>
              <w:top w:type="dxa" w:w="60"/>
              <w:left w:type="dxa" w:w="100"/>
              <w:bottom w:type="dxa" w:w="60"/>
              <w:right w:type="dxa" w:w="100"/>
            </w:tcMar>
          </w:tcPr>
          <w:p>
            <w:r>
              <w:rPr>
                <w:b/>
                <w:bCs/>
                <w:color w:val="FFFFFF"/>
                <w:sz w:val="17"/>
                <w:szCs w:val="17"/>
              </w:rPr>
              <w:t xml:space="preserve">Where addressed</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Standards &amp; Objectives</w:t>
            </w:r>
          </w:p>
        </w:tc>
        <w:tc>
          <w:tcPr>
            <w:tcW w:type="dxa" w:w="5460"/>
            <w:shd w:fill="FFFFFF" w:color="auto" w:val="clear"/>
            <w:tcMar>
              <w:top w:type="dxa" w:w="60"/>
              <w:left w:type="dxa" w:w="100"/>
              <w:bottom w:type="dxa" w:w="60"/>
              <w:right w:type="dxa" w:w="100"/>
            </w:tcMar>
          </w:tcPr>
          <w:p>
            <w:r>
              <w:rPr>
                <w:sz w:val="15"/>
                <w:szCs w:val="15"/>
              </w:rPr>
              <w:t xml:space="preserve">§1 — I-CAN + sequenced sub-objectives + prior learning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Motivating Students</w:t>
            </w:r>
          </w:p>
        </w:tc>
        <w:tc>
          <w:tcPr>
            <w:tcW w:type="dxa" w:w="5460"/>
            <w:shd w:fill="EEF2F6" w:color="auto" w:val="clear"/>
            <w:tcMar>
              <w:top w:type="dxa" w:w="60"/>
              <w:left w:type="dxa" w:w="100"/>
              <w:bottom w:type="dxa" w:w="60"/>
              <w:right w:type="dxa" w:w="100"/>
            </w:tcMar>
          </w:tcPr>
          <w:p>
            <w:r>
              <w:rPr>
                <w:sz w:val="15"/>
                <w:szCs w:val="15"/>
              </w:rPr>
              <w:t xml:space="preserve">§3 Hook — Tennessee relevance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Presenting Content</w:t>
            </w:r>
          </w:p>
        </w:tc>
        <w:tc>
          <w:tcPr>
            <w:tcW w:type="dxa" w:w="5460"/>
            <w:shd w:fill="FFFFFF" w:color="auto" w:val="clear"/>
            <w:tcMar>
              <w:top w:type="dxa" w:w="60"/>
              <w:left w:type="dxa" w:w="100"/>
              <w:bottom w:type="dxa" w:w="60"/>
              <w:right w:type="dxa" w:w="100"/>
            </w:tcMar>
          </w:tcPr>
          <w:p>
            <w:r>
              <w:rPr>
                <w:sz w:val="15"/>
                <w:szCs w:val="15"/>
              </w:rPr>
              <w:t xml:space="preserve">§3 DI — deck visuals + Cornell Notes + modeling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Lesson Structure &amp; Pacing</w:t>
            </w:r>
          </w:p>
        </w:tc>
        <w:tc>
          <w:tcPr>
            <w:tcW w:type="dxa" w:w="5460"/>
            <w:shd w:fill="EEF2F6" w:color="auto" w:val="clear"/>
            <w:tcMar>
              <w:top w:type="dxa" w:w="60"/>
              <w:left w:type="dxa" w:w="100"/>
              <w:bottom w:type="dxa" w:w="60"/>
              <w:right w:type="dxa" w:w="100"/>
            </w:tcMar>
          </w:tcPr>
          <w:p>
            <w:r>
              <w:rPr>
                <w:sz w:val="15"/>
                <w:szCs w:val="15"/>
              </w:rPr>
              <w:t xml:space="preserve">§3 — 47-min segmented, warm-up → closure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Activities &amp; Materials</w:t>
            </w:r>
          </w:p>
        </w:tc>
        <w:tc>
          <w:tcPr>
            <w:tcW w:type="dxa" w:w="5460"/>
            <w:shd w:fill="FFFFFF" w:color="auto" w:val="clear"/>
            <w:tcMar>
              <w:top w:type="dxa" w:w="60"/>
              <w:left w:type="dxa" w:w="100"/>
              <w:bottom w:type="dxa" w:w="60"/>
              <w:right w:type="dxa" w:w="100"/>
            </w:tcMar>
          </w:tcPr>
          <w:p>
            <w:r>
              <w:rPr>
                <w:sz w:val="15"/>
                <w:szCs w:val="15"/>
              </w:rPr>
              <w:t xml:space="preserve">§4 — varied, choice, primary sources, complex text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Questioning</w:t>
            </w:r>
          </w:p>
        </w:tc>
        <w:tc>
          <w:tcPr>
            <w:tcW w:type="dxa" w:w="5460"/>
            <w:shd w:fill="EEF2F6" w:color="auto" w:val="clear"/>
            <w:tcMar>
              <w:top w:type="dxa" w:w="60"/>
              <w:left w:type="dxa" w:w="100"/>
              <w:bottom w:type="dxa" w:w="60"/>
              <w:right w:type="dxa" w:w="100"/>
            </w:tcMar>
          </w:tcPr>
          <w:p>
            <w:r>
              <w:rPr>
                <w:sz w:val="15"/>
                <w:szCs w:val="15"/>
              </w:rPr>
              <w:t xml:space="preserve">§5 — DOK 1–4 ladder, text-based, cite evidence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Feedback</w:t>
            </w:r>
          </w:p>
        </w:tc>
        <w:tc>
          <w:tcPr>
            <w:tcW w:type="dxa" w:w="5460"/>
            <w:shd w:fill="FFFFFF" w:color="auto" w:val="clear"/>
            <w:tcMar>
              <w:top w:type="dxa" w:w="60"/>
              <w:left w:type="dxa" w:w="100"/>
              <w:bottom w:type="dxa" w:w="60"/>
              <w:right w:type="dxa" w:w="100"/>
            </w:tcMar>
          </w:tcPr>
          <w:p>
            <w:r>
              <w:rPr>
                <w:sz w:val="15"/>
                <w:szCs w:val="15"/>
              </w:rPr>
              <w:t xml:space="preserve">§7 — checkpoints during guided practice</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Grouping</w:t>
            </w:r>
          </w:p>
        </w:tc>
        <w:tc>
          <w:tcPr>
            <w:tcW w:type="dxa" w:w="5460"/>
            <w:shd w:fill="EEF2F6" w:color="auto" w:val="clear"/>
            <w:tcMar>
              <w:top w:type="dxa" w:w="60"/>
              <w:left w:type="dxa" w:w="100"/>
              <w:bottom w:type="dxa" w:w="60"/>
              <w:right w:type="dxa" w:w="100"/>
            </w:tcMar>
          </w:tcPr>
          <w:p>
            <w:r>
              <w:rPr>
                <w:sz w:val="15"/>
                <w:szCs w:val="15"/>
              </w:rPr>
              <w:t xml:space="preserve">§7 — pairs + whole-class + individual</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Teacher Content Knowledge</w:t>
            </w:r>
          </w:p>
        </w:tc>
        <w:tc>
          <w:tcPr>
            <w:tcW w:type="dxa" w:w="5460"/>
            <w:shd w:fill="FFFFFF" w:color="auto" w:val="clear"/>
            <w:tcMar>
              <w:top w:type="dxa" w:w="60"/>
              <w:left w:type="dxa" w:w="100"/>
              <w:bottom w:type="dxa" w:w="60"/>
              <w:right w:type="dxa" w:w="100"/>
            </w:tcMar>
          </w:tcPr>
          <w:p>
            <w:r>
              <w:rPr>
                <w:sz w:val="15"/>
                <w:szCs w:val="15"/>
              </w:rPr>
              <w:t xml:space="preserve">§1/§4 — accurate, standards-aligned content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Knowledge of Students</w:t>
            </w:r>
          </w:p>
        </w:tc>
        <w:tc>
          <w:tcPr>
            <w:tcW w:type="dxa" w:w="5460"/>
            <w:shd w:fill="EEF2F6" w:color="auto" w:val="clear"/>
            <w:tcMar>
              <w:top w:type="dxa" w:w="60"/>
              <w:left w:type="dxa" w:w="100"/>
              <w:bottom w:type="dxa" w:w="60"/>
              <w:right w:type="dxa" w:w="100"/>
            </w:tcMar>
          </w:tcPr>
          <w:p>
            <w:r>
              <w:rPr>
                <w:sz w:val="15"/>
                <w:szCs w:val="15"/>
              </w:rPr>
              <w:t xml:space="preserve">§8 — UDL/WIDA + IEP/504</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Thinking / Problem-Solving</w:t>
            </w:r>
          </w:p>
        </w:tc>
        <w:tc>
          <w:tcPr>
            <w:tcW w:type="dxa" w:w="5460"/>
            <w:shd w:fill="FFFFFF" w:color="auto" w:val="clear"/>
            <w:tcMar>
              <w:top w:type="dxa" w:w="60"/>
              <w:left w:type="dxa" w:w="100"/>
              <w:bottom w:type="dxa" w:w="60"/>
              <w:right w:type="dxa" w:w="100"/>
            </w:tcMar>
          </w:tcPr>
          <w:p>
            <w:r>
              <w:rPr>
                <w:sz w:val="15"/>
                <w:szCs w:val="15"/>
              </w:rPr>
              <w:t xml:space="preserve">§6 — analytical, research-based, justify a claim</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Instructional Plans</w:t>
            </w:r>
          </w:p>
        </w:tc>
        <w:tc>
          <w:tcPr>
            <w:tcW w:type="dxa" w:w="5460"/>
            <w:shd w:fill="EEF2F6" w:color="auto" w:val="clear"/>
            <w:tcMar>
              <w:top w:type="dxa" w:w="60"/>
              <w:left w:type="dxa" w:w="100"/>
              <w:bottom w:type="dxa" w:w="60"/>
              <w:right w:type="dxa" w:w="100"/>
            </w:tcMar>
          </w:tcPr>
          <w:p>
            <w:r>
              <w:rPr>
                <w:sz w:val="15"/>
                <w:szCs w:val="15"/>
              </w:rPr>
              <w:t xml:space="preserve">Whole plan — sequenced, accommodations, closure</w:t>
            </w:r>
          </w:p>
        </w:tc>
      </w:tr>
      <w:tr>
        <w:tc>
          <w:tcPr>
            <w:tcW w:type="dxa" w:w="3600"/>
            <w:shd w:fill="FFFFFF" w:color="auto" w:val="clear"/>
            <w:tcMar>
              <w:top w:type="dxa" w:w="60"/>
              <w:left w:type="dxa" w:w="100"/>
              <w:bottom w:type="dxa" w:w="60"/>
              <w:right w:type="dxa" w:w="100"/>
            </w:tcMar>
          </w:tcPr>
          <w:p>
            <w:r>
              <w:rPr>
                <w:b/>
                <w:bCs/>
                <w:color w:val="7A1F2B"/>
                <w:sz w:val="15"/>
                <w:szCs w:val="15"/>
              </w:rPr>
              <w:t xml:space="preserve">PLANNING: Student Work</w:t>
            </w:r>
          </w:p>
        </w:tc>
        <w:tc>
          <w:tcPr>
            <w:tcW w:type="dxa" w:w="5460"/>
            <w:shd w:fill="FFFFFF" w:color="auto" w:val="clear"/>
            <w:tcMar>
              <w:top w:type="dxa" w:w="60"/>
              <w:left w:type="dxa" w:w="100"/>
              <w:bottom w:type="dxa" w:w="60"/>
              <w:right w:type="dxa" w:w="100"/>
            </w:tcMar>
          </w:tcPr>
          <w:p>
            <w:r>
              <w:rPr>
                <w:sz w:val="15"/>
                <w:szCs w:val="15"/>
              </w:rPr>
              <w:t xml:space="preserve">§2 — CER + HIPPO extended writing</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Assessment</w:t>
            </w:r>
          </w:p>
        </w:tc>
        <w:tc>
          <w:tcPr>
            <w:tcW w:type="dxa" w:w="5460"/>
            <w:shd w:fill="EEF2F6" w:color="auto" w:val="clear"/>
            <w:tcMar>
              <w:top w:type="dxa" w:w="60"/>
              <w:left w:type="dxa" w:w="100"/>
              <w:bottom w:type="dxa" w:w="60"/>
              <w:right w:type="dxa" w:w="100"/>
            </w:tcMar>
          </w:tcPr>
          <w:p>
            <w:r>
              <w:rPr>
                <w:sz w:val="15"/>
                <w:szCs w:val="15"/>
              </w:rPr>
              <w:t xml:space="preserve">§2 — multiple measures + clear criteria</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Environment (3 indicators)</w:t>
            </w:r>
          </w:p>
        </w:tc>
        <w:tc>
          <w:tcPr>
            <w:tcW w:type="dxa" w:w="5460"/>
            <w:shd w:fill="FFFFFF" w:color="auto" w:val="clear"/>
            <w:tcMar>
              <w:top w:type="dxa" w:w="60"/>
              <w:left w:type="dxa" w:w="100"/>
              <w:bottom w:type="dxa" w:w="60"/>
              <w:right w:type="dxa" w:w="100"/>
            </w:tcMar>
          </w:tcPr>
          <w:p>
            <w:r>
              <w:rPr>
                <w:sz w:val="15"/>
                <w:szCs w:val="15"/>
              </w:rPr>
              <w:t xml:space="preserve">§9 — reminders (teacher-implemented; not auto-generated)</w:t>
            </w:r>
          </w:p>
        </w:tc>
      </w:tr>
    </w:tbl>
    <w:p>
      <w:pPr>
        <w:spacing w:before="80"/>
      </w:pPr>
      <w:r>
        <w:rPr>
          <w:i/>
          <w:iCs/>
          <w:color w:val="555555"/>
          <w:sz w:val="15"/>
          <w:szCs w:val="15"/>
        </w:rPr>
        <w:t xml:space="preserve">The three PLANNING indicators (highlighted) are what a written plan is directly scored on — this template earns them structurally. The Instruction indicators are documented so the teacher walks in ready; the Environment domain is prompted, not generated.</w:t>
      </w:r>
    </w:p>
    <w:sectPr>
      <w:headerReference w:type="default" r:id="rId7"/>
      <w:footerReference w:type="default" r:id="rId8"/>
      <w:pgSz w:w="12240" w:h="15840" w:orient="portrait"/>
      <w:pgMar w:top="10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tabs>
        <w:tab w:val="right" w:pos="10080"/>
      </w:tabs>
    </w:pPr>
    <w:r>
      <w:rPr>
        <w:color w:val="555555"/>
        <w:sz w:val="13"/>
        <w:szCs w:val="13"/>
      </w:rPr>
      <w:t xml:space="preserve">© 2026 TroopToTeacher Technologies, LLC · U.S. History Hack™ · All rights reserved.</w:t>
    </w:r>
    <w:r>
      <w:rPr>
        <w:color w:val="555555"/>
        <w:sz w:val="13"/>
        <w:szCs w:val="13"/>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D" w:sz="4" w:space="4"/>
      </w:pBdr>
      <w:tabs>
        <w:tab w:val="right" w:pos="10080"/>
      </w:tabs>
    </w:pPr>
    <w:r>
      <w:rPr>
        <w:b/>
        <w:bCs/>
        <w:color w:val="1F3A5F"/>
        <w:sz w:val="16"/>
        <w:szCs w:val="16"/>
      </w:rPr>
      <w:t xml:space="preserve">U.S. History Hack</w:t>
    </w:r>
    <w:r>
      <w:rPr>
        <w:color w:val="1F3A5F"/>
        <w:sz w:val="12"/>
        <w:szCs w:val="12"/>
        <w:vertAlign w:val="superscript"/>
      </w:rPr>
      <w:t xml:space="preserve">™</w:t>
    </w:r>
    <w:r>
      <w:rPr>
        <w:color w:val="555555"/>
        <w:sz w:val="16"/>
        <w:szCs w:val="16"/>
      </w:rPr>
      <w:t xml:space="preserve">  ·  TEAM-Aligned Lesson Plan</w:t>
    </w:r>
    <w:r>
      <w:rPr>
        <w:color w:val="555555"/>
        <w:sz w:val="15"/>
        <w:szCs w:val="15"/>
      </w:rPr>
      <w:t xml:space="preserve">	US.07 · U.S. History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1F3A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US.07 TEAM-Aligned Lesson Plan — U.S. History Hack</dc:title>
  <dc:subject>TEAM-Aligned Lesson Plan (US.07)</dc:subject>
  <dc:creator>TroopToTeacher Technologies, LLC</dc:creator>
  <cp:keywords>U.S. History Hack, TroopToTeacher, U.S. History, TEAM, lesson plan, Unit 1, copyright 2026 TroopToTeacher Technologies LLC</cp:keywords>
  <dc:description>© 2026 TroopToTeacher Technologies, LLC · U.S. History Hack™ · All rights reserved. Generated by U.S. History Hack. Not for redistribution.</dc:description>
  <cp:lastModifiedBy>Un-named</cp:lastModifiedBy>
  <cp:revision>1</cp:revision>
  <dcterms:created xsi:type="dcterms:W3CDTF">2026-08-01T14:59:22.095Z</dcterms:created>
  <dcterms:modified xsi:type="dcterms:W3CDTF">2026-08-01T14:59:22.095Z</dcterms:modified>
</cp:coreProperties>
</file>

<file path=docProps/custom.xml><?xml version="1.0" encoding="utf-8"?>
<Properties xmlns="http://schemas.openxmlformats.org/officeDocument/2006/custom-properties" xmlns:vt="http://schemas.openxmlformats.org/officeDocument/2006/docPropsVTypes"/>
</file>