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336" w:lineRule="auto"/>
        <w:jc w:val="both"/>
      </w:pPr>
      <w:r>
        <w:rPr>
          <w:rFonts w:ascii="Arial" w:hAnsi="Arial"/>
          <w:b/>
          <w:color w:val="1F3A5F"/>
          <w:sz w:val="26"/>
        </w:rPr>
        <w:t xml:space="preserve">Section 1. </w:t>
      </w:r>
      <w:r>
        <w:rPr>
          <w:sz w:val="26"/>
        </w:rPr>
        <w:t>Be it enacted by the Senate and House of Representatives of the United States of America in Congress assembled, That any person who is the head of a family, or who has arrived at the age of twenty-one years, and is a citizen of the United States, or who shall have filed his declaration of intention to become such, as required by the naturalization laws of the United States, and who has never borne arms against the United States Government or given aid and comfort to its enemies, shall, from and after the first January, eighteen hundred and sixty-three, be entitled to enter one quarter section [160 acres] or a less quantity of unappropriated public lands, upon which said person may have filed a preemption claim, or which may, at the time the application is made, be subject to preemption at one dollar and twenty-five cents, or less, per acre; or eighty acres or less of such unappropriated lands, at two dollars and fifty cents per acre, to be located in a body, in conformity to the legal subdivisions of the public lands, and after the same shall have been surveyed.</w:t>
      </w:r>
    </w:p>
    <w:p>
      <w:r>
        <w:br w:type="page"/>
      </w:r>
    </w:p>
    <w:p>
      <w:pPr>
        <w:spacing w:after="240" w:line="336" w:lineRule="auto"/>
        <w:jc w:val="both"/>
      </w:pPr>
      <w:r>
        <w:rPr>
          <w:rFonts w:ascii="Arial" w:hAnsi="Arial"/>
          <w:b/>
          <w:color w:val="1F3A5F"/>
          <w:sz w:val="26"/>
        </w:rPr>
        <w:t xml:space="preserve">Section 2. </w:t>
      </w:r>
      <w:r>
        <w:rPr>
          <w:sz w:val="26"/>
        </w:rPr>
        <w:t>And be it further enacted, That the person applying for the benefit of this act shall, upon application to the register of the land office in which he or she is about to make such entry, make affidavit before the said register or receiver that he or she is the head of a family, or is twenty-one years or more of age, or shall have performed service in the army or navy of the United States, and that he has never borne arms against the Government of the United States or given aid and comfort to its enemies, and that such application is made for his or her exclusive use and benefit, and that said entry is made for the purpose of actual settlement and cultivation, and not either directly or indirectly for the use or benefit of any other person or persons whomsoever; and upon filing the said affidavit with the register or receiver, and on payment of ten dollars, he or she shall thereupon be permitted to enter the quantity of land specified: Provided, however, That no certificate shall be given or patent [legal title] issued therefor until the expiration of five years from the date of such entry; and if, at the expiration of such time, or at any time within two years thereafter, the person making such entry [or, if that person has died, the widow, heirs, or devisee] shall prove by two credible witnesses that he, she, or they have resided upon or cultivated the same for the term of five years immediately succeeding the time of filing the affidavit aforesaid, and shall make affidavit that no part of said land has been alienated, and that he has borne true allegiance to the Government of the United States; then, in such case, he, she, or they, if at that time a citizen of the United States, shall be entitled to a patent, as in other cases provided for by law. [Section 2 also includes a provision for the orphaned children of a settler who dies.]</w:t>
      </w:r>
    </w:p>
    <w:p>
      <w:r>
        <w:br w:type="page"/>
      </w:r>
    </w:p>
    <w:p>
      <w:pPr>
        <w:spacing w:after="240" w:line="336" w:lineRule="auto"/>
        <w:jc w:val="both"/>
      </w:pPr>
      <w:r>
        <w:rPr>
          <w:rFonts w:ascii="Arial" w:hAnsi="Arial"/>
          <w:b/>
          <w:color w:val="1F3A5F"/>
          <w:sz w:val="26"/>
        </w:rPr>
        <w:t xml:space="preserve">Section 3. </w:t>
      </w:r>
      <w:r>
        <w:rPr>
          <w:sz w:val="26"/>
        </w:rPr>
        <w:t>And be it further enacted, That the register of the land office shall note all such applications on the tract books and plats of his office, and keep a register of all such entries, and make return thereof to the General Land Office, together with the proof upon which they have been founded.</w:t>
      </w:r>
    </w:p>
    <w:p>
      <w:pPr>
        <w:spacing w:after="240" w:line="336" w:lineRule="auto"/>
        <w:jc w:val="both"/>
      </w:pPr>
      <w:r>
        <w:rPr>
          <w:rFonts w:ascii="Arial" w:hAnsi="Arial"/>
          <w:b/>
          <w:color w:val="1F3A5F"/>
          <w:sz w:val="26"/>
        </w:rPr>
        <w:t xml:space="preserve">Section 4. </w:t>
      </w:r>
      <w:r>
        <w:rPr>
          <w:sz w:val="26"/>
        </w:rPr>
        <w:t>And be it further enacted, That no lands acquired under the provisions of this act shall in any event become liable to the satisfaction of any debt or debts contracted prior to the issuing of the patent therefor.</w:t>
      </w:r>
    </w:p>
    <w:p>
      <w:pPr>
        <w:spacing w:after="240" w:line="336" w:lineRule="auto"/>
        <w:jc w:val="both"/>
      </w:pPr>
      <w:r>
        <w:rPr>
          <w:rFonts w:ascii="Arial" w:hAnsi="Arial"/>
          <w:b/>
          <w:color w:val="1F3A5F"/>
          <w:sz w:val="26"/>
        </w:rPr>
        <w:t xml:space="preserve">Section 5. </w:t>
      </w:r>
      <w:r>
        <w:rPr>
          <w:sz w:val="26"/>
        </w:rPr>
        <w:t>And be it further enacted, That if, at any time after the filing of the affidavit, as required in the second section of this act, and before the expiration of the five years aforesaid, it shall be proven, after due notice to the settler, to the satisfaction of the register of the land office, that the person having filed such affidavit shall have actually changed his or her residence, or abandoned the said land for more than six months at any time, then and in that event the land so entered shall revert to the government.</w:t>
      </w:r>
    </w:p>
    <w:p>
      <w:r>
        <w:rPr>
          <w:i/>
          <w:color w:val="43506A"/>
          <w:sz w:val="19"/>
        </w:rPr>
        <w:t>[The Act’s remaining sections (6–8) cover the land-office fees, penalties for making a false affidavit, and protection for settlers’ existing pre-emption rights.]</w:t>
      </w:r>
    </w:p>
    <w:p>
      <w:r>
        <w:rPr>
          <w:i/>
          <w:color w:val="43506A"/>
          <w:sz w:val="19"/>
        </w:rPr>
        <w:t>Source: Homestead Act of 1862, 12 Stat. 392 (37th Cong., Sess. II, ch. 75); approved May 20, 1862. U.S. National Archives (RG 11). Public domain.</w:t>
      </w:r>
    </w:p>
    <w:p>
      <w:pPr>
        <w:spacing w:before="200"/>
        <w:jc w:val="center"/>
        <w:pBdr>
          <w:top w:val="single" w:sz="12" w:space="4" w:color="C9A227"/>
        </w:pBdr>
      </w:pPr>
      <w:r>
        <w:rPr>
          <w:rFonts w:ascii="Arial" w:hAnsi="Arial"/>
          <w:color w:val="1F3A5F"/>
          <w:sz w:val="17"/>
        </w:rPr>
        <w:t>© 2026 TroopToTeacher Technologies LLC · U.S. History Hack™. All rights reserved. Licensed for single-classroom reproduction.</w:t>
      </w:r>
    </w:p>
    <w:sectPr w:rsidR="00FC693F" w:rsidRPr="0006063C" w:rsidSect="00034616">
      <w:headerReference w:type="default" r:id="rId9"/>
      <w:footerReference w:type="default" r:id="rId10"/>
      <w:pgSz w:w="12240" w:h="15840"/>
      <w:pgMar w:top="1872" w:right="1080" w:bottom="1008" w:left="1080" w:header="576"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1F3A5F"/>
        <w:sz w:val="15"/>
      </w:rPr>
      <w:t>© 2026 TroopToTeacher Technologies LLC · U.S. History Hack™. All rights reserved. Licensed for single-classroom reproduction.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hd w:val="clear" w:fill="1F3A5F"/>
      <w:spacing w:after="0"/>
    </w:pPr>
    <w:r>
      <w:rPr>
        <w:rFonts w:ascii="Arial" w:hAnsi="Arial"/>
        <w:b/>
        <w:color w:val="C9A227"/>
        <w:sz w:val="17"/>
      </w:rPr>
      <w:t>U.S. HISTORY HACK™ · STANDARD US.01</w:t>
    </w:r>
  </w:p>
  <w:p>
    <w:pPr>
      <w:shd w:val="clear" w:fill="1F3A5F"/>
      <w:spacing w:after="0"/>
    </w:pPr>
    <w:r>
      <w:rPr>
        <w:rFonts w:ascii="Georgia" w:hAnsi="Georgia"/>
        <w:b/>
        <w:color w:val="FFFFFF"/>
        <w:sz w:val="28"/>
      </w:rPr>
      <w:t>The Homestead Act of 1862</w:t>
    </w:r>
  </w:p>
  <w:p>
    <w:pPr>
      <w:shd w:val="clear" w:fill="1F3A5F"/>
      <w:spacing w:after="0"/>
    </w:pPr>
    <w:r>
      <w:rPr>
        <w:i/>
        <w:color w:val="DCE6F1"/>
        <w:sz w:val="18"/>
      </w:rPr>
      <w:t>An Act to secure Homesteads to actual Settlers on the Public Domain —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