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 w:after="0"/>
      </w:pPr>
      <w:r>
        <w:rPr>
          <w:b/>
          <w:bCs/>
          <w:i w:val="false"/>
          <w:iCs w:val="false"/>
          <w:color w:val="C89B3C"/>
          <w:sz w:val="30"/>
          <w:szCs w:val="30"/>
          <w:rFonts w:ascii="Calibri" w:cs="Calibri" w:eastAsia="Calibri" w:hAnsi="Calibri"/>
        </w:rPr>
        <w:t xml:space="preserve">GOVERNMENT HACK™</w:t>
      </w:r>
    </w:p>
    <w:p>
      <w:pPr>
        <w:spacing w:after="0"/>
      </w:pPr>
      <w:r>
        <w:rPr>
          <w:b/>
          <w:bCs/>
          <w:i w:val="false"/>
          <w:iCs w:val="false"/>
          <w:color w:val="1B2A4A"/>
          <w:sz w:val="52"/>
          <w:szCs w:val="52"/>
          <w:rFonts w:ascii="Calibri" w:cs="Calibri" w:eastAsia="Calibri" w:hAnsi="Calibri"/>
        </w:rPr>
        <w:t xml:space="preserve">Unit Assessment Book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A1A1A"/>
          <w:sz w:val="26"/>
          <w:szCs w:val="26"/>
          <w:rFonts w:ascii="Calibri" w:cs="Calibri" w:eastAsia="Calibri" w:hAnsi="Calibri"/>
        </w:rPr>
        <w:t xml:space="preserve">Unit 5 — The Judicial Branch  ·  Teacher Edition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HOW TO USE THIS BOOK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Three parts: (1) Formative Checkpoints — a short check per standard for progress monitoring (MTSS); (2) Unit Summative — two parallel forms (A and B) for pre/post or retakes; (3) Teacher Answer Key + Item Analysis + Reteach.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All items are pulled from the Government Hack question bank. Assessment items are classroom-formative · pre-field-test.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Administering these forms is what generates the response data to CALIBRATE the pre-calibrated items — the first cycle of use closes the loop.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Keys and reteach live in this teacher book only — reproduce the student sections (formative + Form A/B) without the key section.</w:t>
            </w:r>
          </w:p>
        </w:tc>
      </w:tr>
    </w:tbl>
    <w:p>
      <w:pPr>
        <w:pStyle w:val="Heading1"/>
        <w:keepNext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1 — Formative Checkpoints (by standard)</w:t>
      </w:r>
    </w:p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quick DOK-balanced check for each standard. Use for progress monitoring; reteach routing is in the Teacher Key.</w:t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GC.19 — Article III &amp; Judicial Power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Most cases arrive at the U.S. Supreme Court through which type of jurisdiction?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Appellate jurisdiction, on appeal from a lower court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jurisdiction, as the first court to hear the case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Legislative jurisdiction, referred by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Executive jurisdiction, assigned by the President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GC.20 — Selecting &amp; Confirming Justices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Under the Constitution's 'Advice and Consent' requirement, which body must approve a Supreme Court nominee before that person can take the bench?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House of Representatives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Senate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state legislatures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current Supreme Court justices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GC.21 — Judicial Review &amp; Marbury v. Madison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Marbury v. Madison (1803) is most significant because it established which power of the courts?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power to collect federal taxes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power to declare war on other nations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Judicial review — the power to declare a law unconstitutional and void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power to choose the President in a tie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GC.22 — Deciding What Is Constitutional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judge who defers to the elected branches and interprets the Constitution narrowly by its 'original intent' is practicing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review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incorporation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judicial restraint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2 — Unit Summative · Form A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The Constitution gives federal judges their offices 'during good Behaviour' — effectively for life — mainly to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guarantee that they can never be removed for any reason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protect their independence from political pressure so they can rule on the law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allow the President to replace them at the start of each term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require them to also serve as members of Congress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Which sequence correctly describes how a person becomes a U.S. Supreme Court justice?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The Senate nominates; the President confirms by executive order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The current justices choose a successor and the President signs off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President nominates; the Senate Judiciary Committee holds hearings; the full Senate confirms by majority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states nominate a candidate and the House confirms the choice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federal law directly conflicts with a clause of the U.S. Constitution. Based on the reasoning in Marbury v. Madison, how should a court resolve the conflict?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Enforce the law, because Congress passed it and courts must defer to Congress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Ask the President to decide which one controls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Send the question to the state legislatures for a vote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Treat the law as void, because the Constitution is the supreme law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court strikes down a long-standing law, reading the Constitution as a 'living document' that must adapt to new circumstances. This approach is best described as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judicial restraint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original jurisdiction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the rule of four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3 — Unit Summative · Form B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DIRECTIONS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Choose the best answer for each question. Assessment items are classroom-formative · pre-field-test.</w:t>
            </w:r>
          </w:p>
        </w:tc>
      </w:tr>
    </w:tbl>
    <w:p>
      <w:pPr>
        <w:spacing w:after="8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Name: ______________________________     Class / Period: __________     Date: __________</w:t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1.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What distinguishes the Supreme Court's original jurisdiction from its appellate jurisdiction?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[GC.19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Original jurisdiction means the Court is reviewing a lower court's decision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 applies only to cases that begin in state courts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The two terms describe exactly the same kind of case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Original jurisdiction means the case is heard first at that court, not on appeal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2.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A Supreme Court seat opens with two years left in a President's term. Given how long a justice can serve, why might both parties in the Senate treat this single confirmation as unusually important?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[GC.20 · DOK 3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Because the new justice could shape the Court's decisions for decades, long after this President leaves office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Because the justice must be re-confirmed by the Senate every year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Because the House of Representatives will overturn the choice if it disagrees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Because the President loses all other powers while a confirmation is pending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3.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Judicial review is best defined as the power of courts to —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[GC.21 · DOK 1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propose new laws for Congress to consider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declare a law or government action unconstitutional and therefore void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remove the President from office through impeachment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set the federal budget each year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spacing w:after="40"/>
      </w:pP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4.  </w:t>
      </w:r>
      <w:r>
        <w:rPr>
          <w:b/>
          <w:bCs/>
          <w:i w:val="false"/>
          <w:iCs w:val="false"/>
          <w:color w:val="1A1A1A"/>
          <w:sz w:val="22"/>
          <w:szCs w:val="22"/>
          <w:rFonts w:ascii="Calibri" w:cs="Calibri" w:eastAsia="Calibri" w:hAnsi="Calibri"/>
        </w:rPr>
        <w:t xml:space="preserve">Reading the Constitution as a 'living document' and being more willing to strike down laws or set new policy reflects which judicial approach?</w:t>
      </w:r>
      <w:r>
        <w:rPr>
          <w:b w:val="false"/>
          <w:bCs w:val="false"/>
          <w:i w:val="false"/>
          <w:iCs w:val="false"/>
          <w:color w:val="6B7280"/>
          <w:sz w:val="15"/>
          <w:szCs w:val="15"/>
          <w:rFonts w:ascii="Calibri" w:cs="Calibri" w:eastAsia="Calibri" w:hAnsi="Calibri"/>
        </w:rPr>
        <w:t xml:space="preserve">   [GC.22 · DOK 2 · pre-field-test]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A.  judicial restraint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B.  original jurisdiction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C.  judicial activism</w:t>
      </w:r>
    </w:p>
    <w:p>
      <w:pPr>
        <w:spacing w:after="24"/>
        <w:ind w:left="36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Calibri" w:cs="Calibri" w:eastAsia="Calibri" w:hAnsi="Calibri"/>
        </w:rPr>
        <w:t xml:space="preserve">D.  appellate review</w:t>
      </w:r>
    </w:p>
    <w:p>
      <w:pPr>
        <w:spacing w:after="60"/>
      </w:pPr>
      <w:r>
        <w:rPr>
          <w:b w:val="false"/>
          <w:bCs w:val="false"/>
          <w:i w:val="false"/>
          <w:iCs w:val="false"/>
          <w:color w:val="1A1A1A"/>
          <w:sz w:val="8"/>
          <w:szCs w:val="8"/>
          <w:rFonts w:ascii="Calibri" w:cs="Calibri" w:eastAsia="Calibri" w:hAnsi="Calibri"/>
        </w:rPr>
      </w:r>
    </w:p>
    <w:p>
      <w:pPr>
        <w:pStyle w:val="Heading1"/>
        <w:keepNext/>
        <w:pageBreakBefore/>
        <w:spacing w:before="200" w:after="90"/>
      </w:pPr>
      <w:r>
        <w:rPr>
          <w:b/>
          <w:bCs/>
          <w:i w:val="false"/>
          <w:iCs w:val="false"/>
          <w:color w:val="1B2A4A"/>
          <w:sz w:val="36"/>
          <w:szCs w:val="36"/>
          <w:rFonts w:ascii="Calibri" w:cs="Calibri" w:eastAsia="Calibri" w:hAnsi="Calibri"/>
        </w:rPr>
        <w:t xml:space="preserve">Part 4 — Teacher Answer Key + Item Analysis +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8"/>
      </w:tblGrid>
      <w:tr>
        <w:tc>
          <w:tcPr>
            <w:tcW w:type="dxa" w:w="96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F7F5EF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60"/>
            </w:pPr>
            <w:r>
              <w:rPr>
                <w:b/>
                <w:bCs/>
                <w:i w:val="false"/>
                <w:iCs w:val="false"/>
                <w:color w:val="1B2A4A"/>
                <w:sz w:val="21"/>
                <w:szCs w:val="21"/>
                <w:rFonts w:ascii="Calibri" w:cs="Calibri" w:eastAsia="Calibri" w:hAnsi="Calibri"/>
              </w:rPr>
              <w:t xml:space="preserve">READING THE ANALYSIS</w:t>
            </w:r>
          </w:p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  <w:rFonts w:ascii="Calibri" w:cs="Calibri" w:eastAsia="Calibri" w:hAnsi="Calibri"/>
              </w:rPr>
              <w:t xml:space="preserve">Each item shows its standard, DOK, correct key, and TCAP reporting category, plus a reteach move. Distractor-based routing: a wrong choice signals which idea to reteach — pair with the workbook Cornell notes and Guided Support. Assessment items are classroom-formative · pre-field-test.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A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 B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p>
      <w:pPr>
        <w:pStyle w:val="Heading2"/>
        <w:keepNext/>
        <w:spacing w:before="150" w:after="90"/>
      </w:pPr>
      <w:r>
        <w:rPr>
          <w:b/>
          <w:bCs/>
          <w:i w:val="false"/>
          <w:iCs w:val="false"/>
          <w:color w:val="1B2A4A"/>
          <w:sz w:val="28"/>
          <w:szCs w:val="28"/>
          <w:rFonts w:ascii="Calibri" w:cs="Calibri" w:eastAsia="Calibri" w:hAnsi="Calibri"/>
        </w:rPr>
        <w:t xml:space="preserve">Formative Checkpoints — key &amp; reteach</w:t>
      </w:r>
    </w:p>
    <w:tbl>
      <w:tblPr>
        <w:tblW w:type="dxa" w:w="96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100"/>
        <w:gridCol w:w="900"/>
        <w:gridCol w:w="900"/>
        <w:gridCol w:w="1900"/>
        <w:gridCol w:w="3948"/>
      </w:tblGrid>
      <w:tr>
        <w:trPr>
          <w:tblHeader/>
        </w:trP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Standard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DOK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Key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Reporting cat.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shd w:fill="1B2A4A" w:color="auto" w:val="clear"/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  <w:rFonts w:ascii="Calibri" w:cs="Calibri" w:eastAsia="Calibri" w:hAnsi="Calibri"/>
              </w:rPr>
              <w:t xml:space="preserve">What’s Next if missed (reteach)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GC.19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Article III &amp; Judicial Power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GC.20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Selecting &amp; Confirming Justices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GC.21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Judicial Review &amp; Marbury v. Madison — Cornell cues + Guided Support; re-check with the Exit Ticket.</w:t>
            </w:r>
          </w:p>
        </w:tc>
      </w:tr>
      <w:tr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GC.22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1900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RC-GOV5: The Judicial Branch</w:t>
            </w:r>
          </w:p>
        </w:tc>
        <w:tc>
          <w:tcPr>
            <w:tcW w:type="dxa" w:w="3948"/>
            <w:tcBorders>
              <w:top w:val="single" w:color="D9D5C8" w:sz="4" w:space="0"/>
              <w:left w:val="single" w:color="D9D5C8" w:sz="4" w:space="0"/>
              <w:bottom w:val="single" w:color="D9D5C8" w:sz="4" w:space="0"/>
              <w:right w:val="single" w:color="D9D5C8" w:sz="4" w:space="0"/>
            </w:tcBorders>
            <w:tcMar>
              <w:top w:type="dxa" w:w="55"/>
              <w:left w:type="dxa" w:w="110"/>
              <w:bottom w:type="dxa" w:w="55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  <w:rFonts w:ascii="Calibri" w:cs="Calibri" w:eastAsia="Calibri" w:hAnsi="Calibri"/>
              </w:rPr>
              <w:t xml:space="preserve">Revisit Deciding What Is Constitutional — Cornell cues + Guided Support; re-check with the Exit Ticket.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1152" w:right="1296" w:bottom="1152" w:left="1296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b w:val="false"/>
        <w:bCs w:val="false"/>
        <w:i w:val="false"/>
        <w:iCs w:val="false"/>
        <w:color w:val="6B7280"/>
        <w:sz w:val="16"/>
        <w:szCs w:val="16"/>
        <w:rFonts w:ascii="Calibri" w:cs="Calibri" w:eastAsia="Calibri" w:hAnsi="Calibri"/>
      </w:rPr>
      <w:t xml:space="preserve">Government Hack™ · Unit 5 (Course Standard) © 2026 TroopToTeacher Technologies LLC   |   Page </w:t>
    </w:r>
    <w:r>
      <w:rPr>
        <w:color w:val="6B7280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b/>
        <w:bCs/>
        <w:i w:val="false"/>
        <w:iCs w:val="false"/>
        <w:color w:val="C89B3C"/>
        <w:sz w:val="16"/>
        <w:szCs w:val="16"/>
        <w:rFonts w:ascii="Calibri" w:cs="Calibri" w:eastAsia="Calibri" w:hAnsi="Calibri"/>
      </w:rPr>
      <w:t xml:space="preserve">Government Hack™ · Unit 5 · Assessment Book (Teacher)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2026-07-30T02:33:09.329Z</dcterms:created>
  <dcterms:modified xsi:type="dcterms:W3CDTF">2026-07-30T02:33:09.343Z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