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C89B3C"/>
          <w:sz w:val="32"/>
        </w:rPr>
        <w:t>World History Hack™</w:t>
      </w:r>
    </w:p>
    <w:p>
      <w:pPr>
        <w:spacing w:after="40" w:before="0"/>
        <w:jc w:val="center"/>
      </w:pPr>
      <w:r>
        <w:rPr>
          <w:b/>
          <w:i w:val="0"/>
          <w:color w:val="B22234"/>
          <w:sz w:val="26"/>
        </w:rPr>
        <w:t>DBQ · Primary-Source Investigation</w:t>
      </w:r>
    </w:p>
    <w:p>
      <w:pPr>
        <w:spacing w:after="40" w:before="0"/>
        <w:jc w:val="center"/>
      </w:pPr>
      <w:r>
        <w:rPr>
          <w:b/>
          <w:i w:val="0"/>
          <w:color w:val="1B2A4A"/>
          <w:sz w:val="52"/>
        </w:rPr>
        <w:t>Unit 1 — Age of Revolutions</w:t>
      </w:r>
    </w:p>
    <w:p>
      <w:pPr>
        <w:spacing w:after="200" w:before="0"/>
        <w:jc w:val="center"/>
      </w:pPr>
      <w:r>
        <w:rPr>
          <w:b w:val="0"/>
          <w:i/>
          <w:color w:val="1B2A4A"/>
          <w:sz w:val="30"/>
        </w:rPr>
        <w:t>Where should the power to rule come from — God, or the people?</w:t>
      </w:r>
    </w:p>
    <w:p>
      <w:pPr>
        <w:spacing w:after="200" w:before="0"/>
        <w:jc w:val="center"/>
      </w:pPr>
      <w:r>
        <w:rPr>
          <w:b w:val="0"/>
          <w:i w:val="0"/>
          <w:color w:val="606060"/>
          <w:sz w:val="22"/>
        </w:rPr>
        <w:t>Standards W.01 · W.03 · W.08a   ·   Course Standard Edition   ·   Grades 9–12</w:t>
      </w:r>
    </w:p>
    <w:p>
      <w:pPr>
        <w:spacing w:after="160" w:before="0"/>
        <w:jc w:val="center"/>
      </w:pPr>
      <w:r>
        <w:rPr>
          <w:b w:val="0"/>
          <w:i/>
          <w:color w:val="606060"/>
          <w:sz w:val="20"/>
        </w:rPr>
        <w:t>Universal Design for Learning 3.0 (CAST, 2024) + MTSS. Read-aloud on request · key terms glossed (EN/ES) · answer in writing, speech, or a labeled diagram. Same target for everyone; supports vary the means, not the ceiling.</w:t>
      </w:r>
    </w:p>
    <w:p>
      <w:pPr>
        <w:spacing w:after="120" w:before="0"/>
        <w:jc w:val="center"/>
      </w:pPr>
      <w:r>
        <w:rPr>
          <w:b w:val="0"/>
          <w:i w:val="0"/>
          <w:color w:val="606060"/>
          <w:sz w:val="18"/>
        </w:rPr>
        <w:t>© 2026 TroopToTeacher Technologies LLC. Documents below are public domain. Assessment is classroom-formative · pre-field-test.</w:t>
      </w:r>
    </w:p>
    <w:p>
      <w:r>
        <w:br w:type="page"/>
      </w:r>
    </w:p>
    <w:p>
      <w:pPr>
        <w:spacing w:after="80" w:before="0"/>
      </w:pPr>
      <w:r>
        <w:rPr>
          <w:b/>
          <w:i w:val="0"/>
          <w:color w:val="1B2A4A"/>
          <w:sz w:val="32"/>
        </w:rPr>
        <w:t>The Historical Question</w:t>
      </w:r>
    </w:p>
    <w:p>
      <w:pPr>
        <w:spacing w:after="80" w:before="0"/>
      </w:pPr>
      <w:r>
        <w:rPr>
          <w:b w:val="0"/>
          <w:i w:val="0"/>
          <w:color w:val="606060"/>
          <w:sz w:val="18"/>
        </w:rPr>
        <w:t>——————————————————————————————————————————————————————</w:t>
      </w:r>
    </w:p>
    <w:p>
      <w:pPr>
        <w:spacing w:after="120" w:before="0"/>
      </w:pPr>
      <w:r>
        <w:rPr>
          <w:b w:val="0"/>
          <w:i w:val="0"/>
          <w:sz w:val="22"/>
        </w:rPr>
        <w:t>For centuries, European kings claimed they ruled by the divine right of kings — that God had chosen them, so no one on earth could question them. During the 1600s and 1700s, Enlightenment thinkers argued something revolutionary instead: that a government’s power comes from the consent of the governed. In this investigation you will read three primary sources, analyze each one, and build an evidence-based argument answering:</w:t>
      </w:r>
    </w:p>
    <w:p>
      <w:pPr>
        <w:spacing w:after="160" w:before="0"/>
      </w:pPr>
      <w:r>
        <w:rPr>
          <w:b/>
          <w:i w:val="0"/>
          <w:color w:val="B22234"/>
          <w:sz w:val="26"/>
        </w:rPr>
        <w:t>Should the power to rule come from God (divine right) or from the people (consent of the governed)?</w:t>
      </w:r>
    </w:p>
    <w:p>
      <w:pPr>
        <w:spacing w:after="160" w:before="0"/>
      </w:pPr>
      <w:r>
        <w:rPr>
          <w:b w:val="0"/>
          <w:i/>
          <w:color w:val="606060"/>
          <w:sz w:val="22"/>
        </w:rPr>
        <w:t>How to work like a historian: for each document, first SOURCE it (who wrote it, when, and why), then read it closely, then use HIPPO to analyze it. Mark up the text. You will use these documents as evidence in your final argument.</w:t>
      </w:r>
    </w:p>
    <w:p>
      <w:r>
        <w:br w:type="page"/>
      </w:r>
    </w:p>
    <w:p>
      <w:pPr>
        <w:spacing w:after="40" w:before="0"/>
      </w:pPr>
      <w:r>
        <w:rPr>
          <w:b/>
          <w:i w:val="0"/>
          <w:color w:val="1B2A4A"/>
          <w:sz w:val="30"/>
        </w:rPr>
        <w:t>Document A — On the Divine Right of Kings</w:t>
      </w:r>
    </w:p>
    <w:p>
      <w:pPr>
        <w:spacing w:after="120" w:before="0"/>
      </w:pPr>
      <w:r>
        <w:rPr>
          <w:b w:val="0"/>
          <w:i/>
          <w:color w:val="606060"/>
          <w:sz w:val="20"/>
        </w:rPr>
        <w:t>King James I of England, Speech to Parliament, 1610. Public domain (pre-1929).  ·  Theme: divine right (supports W.01)</w:t>
      </w:r>
    </w:p>
    <w:p>
      <w:pPr>
        <w:spacing w:after="160" w:before="0"/>
      </w:pPr>
      <w:r>
        <w:rPr>
          <w:b w:val="0"/>
          <w:i w:val="0"/>
          <w:sz w:val="24"/>
        </w:rPr>
        <w:t>“The state of monarchy is the supremest thing upon earth; for kings are not only God’s lieutenants upon earth, and sit upon God’s throne, but even by God himself they are called gods… Kings are justly called gods, for that they exercise a manner or resemblance of divine power upon earth.”</w:t>
      </w:r>
    </w:p>
    <w:p>
      <w:pPr>
        <w:spacing w:after="40" w:before="0"/>
      </w:pPr>
      <w:r>
        <w:rPr>
          <w:b/>
          <w:i w:val="0"/>
          <w:color w:val="B22234"/>
          <w:sz w:val="24"/>
        </w:rPr>
        <w:t>SOAPS — source it first</w:t>
      </w:r>
    </w:p>
    <w:tbl>
      <w:tblPr>
        <w:tblStyle w:val="TableGrid"/>
        <w:tblW w:type="auto" w:w="0"/>
        <w:jc w:val="center"/>
        <w:tblLook w:firstColumn="1" w:firstRow="1" w:lastColumn="0" w:lastRow="0" w:noHBand="0" w:noVBand="1" w:val="04A0"/>
      </w:tblPr>
      <w:tblGrid>
        <w:gridCol w:w="4896"/>
        <w:gridCol w:w="4896"/>
      </w:tblGrid>
      <w:tr>
        <w:tc>
          <w:tcPr>
            <w:tcW w:type="dxa" w:w="3456"/>
          </w:tcPr>
          <w:p>
            <w:r>
              <w:rPr>
                <w:b/>
                <w:sz w:val="20"/>
              </w:rPr>
              <w:t>S — Subject: what is it about?</w:t>
            </w:r>
          </w:p>
        </w:tc>
        <w:tc>
          <w:tcPr>
            <w:tcW w:type="dxa" w:w="6624"/>
          </w:tcPr>
          <w:p>
            <w:r>
              <w:rPr>
                <w:sz w:val="20"/>
              </w:rPr>
            </w:r>
          </w:p>
        </w:tc>
      </w:tr>
      <w:tr>
        <w:tc>
          <w:tcPr>
            <w:tcW w:type="dxa" w:w="3456"/>
          </w:tcPr>
          <w:p>
            <w:r>
              <w:rPr>
                <w:b/>
                <w:sz w:val="20"/>
              </w:rPr>
              <w:t>O — Occasion: what was happening then?</w:t>
            </w:r>
          </w:p>
        </w:tc>
        <w:tc>
          <w:tcPr>
            <w:tcW w:type="dxa" w:w="6624"/>
          </w:tcPr>
          <w:p>
            <w:r>
              <w:rPr>
                <w:sz w:val="20"/>
              </w:rPr>
            </w:r>
          </w:p>
        </w:tc>
      </w:tr>
      <w:tr>
        <w:tc>
          <w:tcPr>
            <w:tcW w:type="dxa" w:w="3456"/>
          </w:tcPr>
          <w:p>
            <w:r>
              <w:rPr>
                <w:b/>
                <w:sz w:val="20"/>
              </w:rPr>
              <w:t>A — Audience: who was meant to hear it?</w:t>
            </w:r>
          </w:p>
        </w:tc>
        <w:tc>
          <w:tcPr>
            <w:tcW w:type="dxa" w:w="6624"/>
          </w:tcPr>
          <w:p>
            <w:r>
              <w:rPr>
                <w:sz w:val="20"/>
              </w:rPr>
            </w:r>
          </w:p>
        </w:tc>
      </w:tr>
      <w:tr>
        <w:tc>
          <w:tcPr>
            <w:tcW w:type="dxa" w:w="3456"/>
          </w:tcPr>
          <w:p>
            <w:r>
              <w:rPr>
                <w:b/>
                <w:sz w:val="20"/>
              </w:rPr>
              <w:t>P — Purpose: why was it written?</w:t>
            </w:r>
          </w:p>
        </w:tc>
        <w:tc>
          <w:tcPr>
            <w:tcW w:type="dxa" w:w="6624"/>
          </w:tcPr>
          <w:p>
            <w:r>
              <w:rPr>
                <w:sz w:val="20"/>
              </w:rPr>
            </w:r>
          </w:p>
        </w:tc>
      </w:tr>
      <w:tr>
        <w:tc>
          <w:tcPr>
            <w:tcW w:type="dxa" w:w="3456"/>
          </w:tcPr>
          <w:p>
            <w:r>
              <w:rPr>
                <w:b/>
                <w:sz w:val="20"/>
              </w:rPr>
              <w:t>S — Speaker: whose point of view is it?</w:t>
            </w:r>
          </w:p>
        </w:tc>
        <w:tc>
          <w:tcPr>
            <w:tcW w:type="dxa" w:w="6624"/>
          </w:tcPr>
          <w:p>
            <w:r>
              <w:rPr>
                <w:sz w:val="20"/>
              </w:rPr>
            </w:r>
          </w:p>
        </w:tc>
      </w:tr>
    </w:tbl>
    <w:p>
      <w:pPr>
        <w:spacing w:after="80"/>
      </w:pPr>
    </w:p>
    <w:p>
      <w:pPr>
        <w:spacing w:after="40" w:before="0"/>
      </w:pPr>
      <w:r>
        <w:rPr>
          <w:b/>
          <w:i w:val="0"/>
          <w:color w:val="B22234"/>
          <w:sz w:val="24"/>
        </w:rPr>
        <w:t>HIPPO — analyze the source</w:t>
      </w:r>
    </w:p>
    <w:tbl>
      <w:tblPr>
        <w:tblStyle w:val="TableGrid"/>
        <w:tblW w:type="auto" w:w="0"/>
        <w:jc w:val="center"/>
        <w:tblLook w:firstColumn="1" w:firstRow="1" w:lastColumn="0" w:lastRow="0" w:noHBand="0" w:noVBand="1" w:val="04A0"/>
      </w:tblPr>
      <w:tblGrid>
        <w:gridCol w:w="4896"/>
        <w:gridCol w:w="4896"/>
      </w:tblGrid>
      <w:tr>
        <w:tc>
          <w:tcPr>
            <w:tcW w:type="dxa" w:w="3456"/>
          </w:tcPr>
          <w:p>
            <w:r>
              <w:rPr>
                <w:b/>
                <w:sz w:val="20"/>
              </w:rPr>
              <w:t>H — Historical context</w:t>
            </w:r>
          </w:p>
        </w:tc>
        <w:tc>
          <w:tcPr>
            <w:tcW w:type="dxa" w:w="6624"/>
          </w:tcPr>
          <w:p>
            <w:r>
              <w:rPr>
                <w:sz w:val="20"/>
              </w:rPr>
            </w:r>
          </w:p>
        </w:tc>
      </w:tr>
      <w:tr>
        <w:tc>
          <w:tcPr>
            <w:tcW w:type="dxa" w:w="3456"/>
          </w:tcPr>
          <w:p>
            <w:r>
              <w:rPr>
                <w:b/>
                <w:sz w:val="20"/>
              </w:rPr>
              <w:t>I — Intended audience</w:t>
            </w:r>
          </w:p>
        </w:tc>
        <w:tc>
          <w:tcPr>
            <w:tcW w:type="dxa" w:w="6624"/>
          </w:tcPr>
          <w:p>
            <w:r>
              <w:rPr>
                <w:sz w:val="20"/>
              </w:rPr>
            </w:r>
          </w:p>
        </w:tc>
      </w:tr>
      <w:tr>
        <w:tc>
          <w:tcPr>
            <w:tcW w:type="dxa" w:w="3456"/>
          </w:tcPr>
          <w:p>
            <w:r>
              <w:rPr>
                <w:b/>
                <w:sz w:val="20"/>
              </w:rPr>
              <w:t>P — Purpose</w:t>
            </w:r>
          </w:p>
        </w:tc>
        <w:tc>
          <w:tcPr>
            <w:tcW w:type="dxa" w:w="6624"/>
          </w:tcPr>
          <w:p>
            <w:r>
              <w:rPr>
                <w:sz w:val="20"/>
              </w:rPr>
            </w:r>
          </w:p>
        </w:tc>
      </w:tr>
      <w:tr>
        <w:tc>
          <w:tcPr>
            <w:tcW w:type="dxa" w:w="3456"/>
          </w:tcPr>
          <w:p>
            <w:r>
              <w:rPr>
                <w:b/>
                <w:sz w:val="20"/>
              </w:rPr>
              <w:t>P — Point of view</w:t>
            </w:r>
          </w:p>
        </w:tc>
        <w:tc>
          <w:tcPr>
            <w:tcW w:type="dxa" w:w="6624"/>
          </w:tcPr>
          <w:p>
            <w:r>
              <w:rPr>
                <w:sz w:val="20"/>
              </w:rPr>
            </w:r>
          </w:p>
        </w:tc>
      </w:tr>
      <w:tr>
        <w:tc>
          <w:tcPr>
            <w:tcW w:type="dxa" w:w="3456"/>
          </w:tcPr>
          <w:p>
            <w:r>
              <w:rPr>
                <w:b/>
                <w:sz w:val="20"/>
              </w:rPr>
              <w:t>O — Outside connection (to a unit standard)</w:t>
            </w:r>
          </w:p>
        </w:tc>
        <w:tc>
          <w:tcPr>
            <w:tcW w:type="dxa" w:w="6624"/>
          </w:tcPr>
          <w:p>
            <w:r>
              <w:rPr>
                <w:sz w:val="20"/>
              </w:rPr>
            </w:r>
          </w:p>
        </w:tc>
      </w:tr>
    </w:tbl>
    <w:p>
      <w:pPr>
        <w:spacing w:after="80"/>
      </w:pPr>
    </w:p>
    <w:p>
      <w:pPr>
        <w:spacing w:after="40" w:before="0"/>
      </w:pPr>
      <w:r>
        <w:rPr>
          <w:b w:val="0"/>
          <w:i/>
          <w:color w:val="606060"/>
          <w:sz w:val="20"/>
        </w:rPr>
        <w:t>Support option — sentence frame: “This source argues ______ because it ______, which reveals ______.”</w:t>
      </w:r>
    </w:p>
    <w:p>
      <w:pPr>
        <w:spacing w:after="120" w:before="0"/>
      </w:pPr>
      <w:r>
        <w:rPr>
          <w:b w:val="0"/>
          <w:i/>
          <w:color w:val="606060"/>
          <w:sz w:val="20"/>
        </w:rPr>
        <w:t>Response choice: you may answer these boxes in writing, by recording your spoken answer, or with a labeled diagram.</w:t>
      </w:r>
    </w:p>
    <w:p>
      <w:r>
        <w:br w:type="page"/>
      </w:r>
    </w:p>
    <w:p>
      <w:pPr>
        <w:spacing w:after="40" w:before="0"/>
      </w:pPr>
      <w:r>
        <w:rPr>
          <w:b/>
          <w:i w:val="0"/>
          <w:color w:val="1B2A4A"/>
          <w:sz w:val="30"/>
        </w:rPr>
        <w:t>Document B — Second Treatise of Government</w:t>
      </w:r>
    </w:p>
    <w:p>
      <w:pPr>
        <w:spacing w:after="120" w:before="0"/>
      </w:pPr>
      <w:r>
        <w:rPr>
          <w:b w:val="0"/>
          <w:i/>
          <w:color w:val="606060"/>
          <w:sz w:val="20"/>
        </w:rPr>
        <w:t>John Locke, 1689. Public domain (pre-1929).  ·  Theme: natural rights &amp; consent (supports W.03)</w:t>
      </w:r>
    </w:p>
    <w:p>
      <w:pPr>
        <w:spacing w:after="160" w:before="0"/>
      </w:pPr>
      <w:r>
        <w:rPr>
          <w:b w:val="0"/>
          <w:i w:val="0"/>
          <w:sz w:val="24"/>
        </w:rPr>
        <w:t>“Men being, as has been said, by nature all free, equal, and independent, no one can be put out of this estate and subjected to the political power of another without his own consent… When any number of men have so consented to make one community or government… the majority have a right to act and conclude the rest.”</w:t>
      </w:r>
    </w:p>
    <w:p>
      <w:pPr>
        <w:spacing w:after="40" w:before="0"/>
      </w:pPr>
      <w:r>
        <w:rPr>
          <w:b/>
          <w:i w:val="0"/>
          <w:color w:val="B22234"/>
          <w:sz w:val="24"/>
        </w:rPr>
        <w:t>SOAPS — source it first</w:t>
      </w:r>
    </w:p>
    <w:tbl>
      <w:tblPr>
        <w:tblStyle w:val="TableGrid"/>
        <w:tblW w:type="auto" w:w="0"/>
        <w:jc w:val="center"/>
        <w:tblLook w:firstColumn="1" w:firstRow="1" w:lastColumn="0" w:lastRow="0" w:noHBand="0" w:noVBand="1" w:val="04A0"/>
      </w:tblPr>
      <w:tblGrid>
        <w:gridCol w:w="4896"/>
        <w:gridCol w:w="4896"/>
      </w:tblGrid>
      <w:tr>
        <w:tc>
          <w:tcPr>
            <w:tcW w:type="dxa" w:w="3456"/>
          </w:tcPr>
          <w:p>
            <w:r>
              <w:rPr>
                <w:b/>
                <w:sz w:val="20"/>
              </w:rPr>
              <w:t>S — Subject: what is it about?</w:t>
            </w:r>
          </w:p>
        </w:tc>
        <w:tc>
          <w:tcPr>
            <w:tcW w:type="dxa" w:w="6624"/>
          </w:tcPr>
          <w:p>
            <w:r>
              <w:rPr>
                <w:sz w:val="20"/>
              </w:rPr>
            </w:r>
          </w:p>
        </w:tc>
      </w:tr>
      <w:tr>
        <w:tc>
          <w:tcPr>
            <w:tcW w:type="dxa" w:w="3456"/>
          </w:tcPr>
          <w:p>
            <w:r>
              <w:rPr>
                <w:b/>
                <w:sz w:val="20"/>
              </w:rPr>
              <w:t>O — Occasion: what was happening then?</w:t>
            </w:r>
          </w:p>
        </w:tc>
        <w:tc>
          <w:tcPr>
            <w:tcW w:type="dxa" w:w="6624"/>
          </w:tcPr>
          <w:p>
            <w:r>
              <w:rPr>
                <w:sz w:val="20"/>
              </w:rPr>
            </w:r>
          </w:p>
        </w:tc>
      </w:tr>
      <w:tr>
        <w:tc>
          <w:tcPr>
            <w:tcW w:type="dxa" w:w="3456"/>
          </w:tcPr>
          <w:p>
            <w:r>
              <w:rPr>
                <w:b/>
                <w:sz w:val="20"/>
              </w:rPr>
              <w:t>A — Audience: who was meant to hear it?</w:t>
            </w:r>
          </w:p>
        </w:tc>
        <w:tc>
          <w:tcPr>
            <w:tcW w:type="dxa" w:w="6624"/>
          </w:tcPr>
          <w:p>
            <w:r>
              <w:rPr>
                <w:sz w:val="20"/>
              </w:rPr>
            </w:r>
          </w:p>
        </w:tc>
      </w:tr>
      <w:tr>
        <w:tc>
          <w:tcPr>
            <w:tcW w:type="dxa" w:w="3456"/>
          </w:tcPr>
          <w:p>
            <w:r>
              <w:rPr>
                <w:b/>
                <w:sz w:val="20"/>
              </w:rPr>
              <w:t>P — Purpose: why was it written?</w:t>
            </w:r>
          </w:p>
        </w:tc>
        <w:tc>
          <w:tcPr>
            <w:tcW w:type="dxa" w:w="6624"/>
          </w:tcPr>
          <w:p>
            <w:r>
              <w:rPr>
                <w:sz w:val="20"/>
              </w:rPr>
            </w:r>
          </w:p>
        </w:tc>
      </w:tr>
      <w:tr>
        <w:tc>
          <w:tcPr>
            <w:tcW w:type="dxa" w:w="3456"/>
          </w:tcPr>
          <w:p>
            <w:r>
              <w:rPr>
                <w:b/>
                <w:sz w:val="20"/>
              </w:rPr>
              <w:t>S — Speaker: whose point of view is it?</w:t>
            </w:r>
          </w:p>
        </w:tc>
        <w:tc>
          <w:tcPr>
            <w:tcW w:type="dxa" w:w="6624"/>
          </w:tcPr>
          <w:p>
            <w:r>
              <w:rPr>
                <w:sz w:val="20"/>
              </w:rPr>
            </w:r>
          </w:p>
        </w:tc>
      </w:tr>
    </w:tbl>
    <w:p>
      <w:pPr>
        <w:spacing w:after="80"/>
      </w:pPr>
    </w:p>
    <w:p>
      <w:pPr>
        <w:spacing w:after="40" w:before="0"/>
      </w:pPr>
      <w:r>
        <w:rPr>
          <w:b/>
          <w:i w:val="0"/>
          <w:color w:val="B22234"/>
          <w:sz w:val="24"/>
        </w:rPr>
        <w:t>HIPPO — analyze the source</w:t>
      </w:r>
    </w:p>
    <w:tbl>
      <w:tblPr>
        <w:tblStyle w:val="TableGrid"/>
        <w:tblW w:type="auto" w:w="0"/>
        <w:jc w:val="center"/>
        <w:tblLook w:firstColumn="1" w:firstRow="1" w:lastColumn="0" w:lastRow="0" w:noHBand="0" w:noVBand="1" w:val="04A0"/>
      </w:tblPr>
      <w:tblGrid>
        <w:gridCol w:w="4896"/>
        <w:gridCol w:w="4896"/>
      </w:tblGrid>
      <w:tr>
        <w:tc>
          <w:tcPr>
            <w:tcW w:type="dxa" w:w="3456"/>
          </w:tcPr>
          <w:p>
            <w:r>
              <w:rPr>
                <w:b/>
                <w:sz w:val="20"/>
              </w:rPr>
              <w:t>H — Historical context</w:t>
            </w:r>
          </w:p>
        </w:tc>
        <w:tc>
          <w:tcPr>
            <w:tcW w:type="dxa" w:w="6624"/>
          </w:tcPr>
          <w:p>
            <w:r>
              <w:rPr>
                <w:sz w:val="20"/>
              </w:rPr>
            </w:r>
          </w:p>
        </w:tc>
      </w:tr>
      <w:tr>
        <w:tc>
          <w:tcPr>
            <w:tcW w:type="dxa" w:w="3456"/>
          </w:tcPr>
          <w:p>
            <w:r>
              <w:rPr>
                <w:b/>
                <w:sz w:val="20"/>
              </w:rPr>
              <w:t>I — Intended audience</w:t>
            </w:r>
          </w:p>
        </w:tc>
        <w:tc>
          <w:tcPr>
            <w:tcW w:type="dxa" w:w="6624"/>
          </w:tcPr>
          <w:p>
            <w:r>
              <w:rPr>
                <w:sz w:val="20"/>
              </w:rPr>
            </w:r>
          </w:p>
        </w:tc>
      </w:tr>
      <w:tr>
        <w:tc>
          <w:tcPr>
            <w:tcW w:type="dxa" w:w="3456"/>
          </w:tcPr>
          <w:p>
            <w:r>
              <w:rPr>
                <w:b/>
                <w:sz w:val="20"/>
              </w:rPr>
              <w:t>P — Purpose</w:t>
            </w:r>
          </w:p>
        </w:tc>
        <w:tc>
          <w:tcPr>
            <w:tcW w:type="dxa" w:w="6624"/>
          </w:tcPr>
          <w:p>
            <w:r>
              <w:rPr>
                <w:sz w:val="20"/>
              </w:rPr>
            </w:r>
          </w:p>
        </w:tc>
      </w:tr>
      <w:tr>
        <w:tc>
          <w:tcPr>
            <w:tcW w:type="dxa" w:w="3456"/>
          </w:tcPr>
          <w:p>
            <w:r>
              <w:rPr>
                <w:b/>
                <w:sz w:val="20"/>
              </w:rPr>
              <w:t>P — Point of view</w:t>
            </w:r>
          </w:p>
        </w:tc>
        <w:tc>
          <w:tcPr>
            <w:tcW w:type="dxa" w:w="6624"/>
          </w:tcPr>
          <w:p>
            <w:r>
              <w:rPr>
                <w:sz w:val="20"/>
              </w:rPr>
            </w:r>
          </w:p>
        </w:tc>
      </w:tr>
      <w:tr>
        <w:tc>
          <w:tcPr>
            <w:tcW w:type="dxa" w:w="3456"/>
          </w:tcPr>
          <w:p>
            <w:r>
              <w:rPr>
                <w:b/>
                <w:sz w:val="20"/>
              </w:rPr>
              <w:t>O — Outside connection (to a unit standard)</w:t>
            </w:r>
          </w:p>
        </w:tc>
        <w:tc>
          <w:tcPr>
            <w:tcW w:type="dxa" w:w="6624"/>
          </w:tcPr>
          <w:p>
            <w:r>
              <w:rPr>
                <w:sz w:val="20"/>
              </w:rPr>
            </w:r>
          </w:p>
        </w:tc>
      </w:tr>
    </w:tbl>
    <w:p>
      <w:pPr>
        <w:spacing w:after="80"/>
      </w:pPr>
    </w:p>
    <w:p>
      <w:pPr>
        <w:spacing w:after="40" w:before="0"/>
      </w:pPr>
      <w:r>
        <w:rPr>
          <w:b w:val="0"/>
          <w:i/>
          <w:color w:val="606060"/>
          <w:sz w:val="20"/>
        </w:rPr>
        <w:t>Support option — sentence frame: “This source argues ______ because it ______, which reveals ______.”</w:t>
      </w:r>
    </w:p>
    <w:p>
      <w:pPr>
        <w:spacing w:after="120" w:before="0"/>
      </w:pPr>
      <w:r>
        <w:rPr>
          <w:b w:val="0"/>
          <w:i/>
          <w:color w:val="606060"/>
          <w:sz w:val="20"/>
        </w:rPr>
        <w:t>Response choice: you may answer these boxes in writing, by recording your spoken answer, or with a labeled diagram.</w:t>
      </w:r>
    </w:p>
    <w:p>
      <w:r>
        <w:br w:type="page"/>
      </w:r>
    </w:p>
    <w:p>
      <w:pPr>
        <w:spacing w:after="40" w:before="0"/>
      </w:pPr>
      <w:r>
        <w:rPr>
          <w:b/>
          <w:i w:val="0"/>
          <w:color w:val="1B2A4A"/>
          <w:sz w:val="30"/>
        </w:rPr>
        <w:t>Document C — The Declaration of Independence</w:t>
      </w:r>
    </w:p>
    <w:p>
      <w:pPr>
        <w:spacing w:after="120" w:before="0"/>
      </w:pPr>
      <w:r>
        <w:rPr>
          <w:b w:val="0"/>
          <w:i/>
          <w:color w:val="606060"/>
          <w:sz w:val="20"/>
        </w:rPr>
        <w:t>Thomas Jefferson and the Continental Congress, 1776. U.S. National Archives. Public domain (US government).  ·  Theme: consent of the governed (supports W.08a)</w:t>
      </w:r>
    </w:p>
    <w:p>
      <w:pPr>
        <w:spacing w:after="160" w:before="0"/>
      </w:pPr>
      <w:r>
        <w:rPr>
          <w:b w:val="0"/>
          <w:i w:val="0"/>
          <w:sz w:val="24"/>
        </w:rPr>
        <w:t>“We hold these truths to be self-evident, that all men are created equal, that they are endowed by their Creator with certain unalienable Rights… That to secure these rights, Governments are instituted among Men, deriving their just powers from the consent of the governed.”</w:t>
      </w:r>
    </w:p>
    <w:p>
      <w:pPr>
        <w:spacing w:after="40" w:before="0"/>
      </w:pPr>
      <w:r>
        <w:rPr>
          <w:b/>
          <w:i w:val="0"/>
          <w:color w:val="B22234"/>
          <w:sz w:val="24"/>
        </w:rPr>
        <w:t>SOAPS — source it first</w:t>
      </w:r>
    </w:p>
    <w:tbl>
      <w:tblPr>
        <w:tblStyle w:val="TableGrid"/>
        <w:tblW w:type="auto" w:w="0"/>
        <w:jc w:val="center"/>
        <w:tblLook w:firstColumn="1" w:firstRow="1" w:lastColumn="0" w:lastRow="0" w:noHBand="0" w:noVBand="1" w:val="04A0"/>
      </w:tblPr>
      <w:tblGrid>
        <w:gridCol w:w="4896"/>
        <w:gridCol w:w="4896"/>
      </w:tblGrid>
      <w:tr>
        <w:tc>
          <w:tcPr>
            <w:tcW w:type="dxa" w:w="3456"/>
          </w:tcPr>
          <w:p>
            <w:r>
              <w:rPr>
                <w:b/>
                <w:sz w:val="20"/>
              </w:rPr>
              <w:t>S — Subject: what is it about?</w:t>
            </w:r>
          </w:p>
        </w:tc>
        <w:tc>
          <w:tcPr>
            <w:tcW w:type="dxa" w:w="6624"/>
          </w:tcPr>
          <w:p>
            <w:r>
              <w:rPr>
                <w:sz w:val="20"/>
              </w:rPr>
            </w:r>
          </w:p>
        </w:tc>
      </w:tr>
      <w:tr>
        <w:tc>
          <w:tcPr>
            <w:tcW w:type="dxa" w:w="3456"/>
          </w:tcPr>
          <w:p>
            <w:r>
              <w:rPr>
                <w:b/>
                <w:sz w:val="20"/>
              </w:rPr>
              <w:t>O — Occasion: what was happening then?</w:t>
            </w:r>
          </w:p>
        </w:tc>
        <w:tc>
          <w:tcPr>
            <w:tcW w:type="dxa" w:w="6624"/>
          </w:tcPr>
          <w:p>
            <w:r>
              <w:rPr>
                <w:sz w:val="20"/>
              </w:rPr>
            </w:r>
          </w:p>
        </w:tc>
      </w:tr>
      <w:tr>
        <w:tc>
          <w:tcPr>
            <w:tcW w:type="dxa" w:w="3456"/>
          </w:tcPr>
          <w:p>
            <w:r>
              <w:rPr>
                <w:b/>
                <w:sz w:val="20"/>
              </w:rPr>
              <w:t>A — Audience: who was meant to hear it?</w:t>
            </w:r>
          </w:p>
        </w:tc>
        <w:tc>
          <w:tcPr>
            <w:tcW w:type="dxa" w:w="6624"/>
          </w:tcPr>
          <w:p>
            <w:r>
              <w:rPr>
                <w:sz w:val="20"/>
              </w:rPr>
            </w:r>
          </w:p>
        </w:tc>
      </w:tr>
      <w:tr>
        <w:tc>
          <w:tcPr>
            <w:tcW w:type="dxa" w:w="3456"/>
          </w:tcPr>
          <w:p>
            <w:r>
              <w:rPr>
                <w:b/>
                <w:sz w:val="20"/>
              </w:rPr>
              <w:t>P — Purpose: why was it written?</w:t>
            </w:r>
          </w:p>
        </w:tc>
        <w:tc>
          <w:tcPr>
            <w:tcW w:type="dxa" w:w="6624"/>
          </w:tcPr>
          <w:p>
            <w:r>
              <w:rPr>
                <w:sz w:val="20"/>
              </w:rPr>
            </w:r>
          </w:p>
        </w:tc>
      </w:tr>
      <w:tr>
        <w:tc>
          <w:tcPr>
            <w:tcW w:type="dxa" w:w="3456"/>
          </w:tcPr>
          <w:p>
            <w:r>
              <w:rPr>
                <w:b/>
                <w:sz w:val="20"/>
              </w:rPr>
              <w:t>S — Speaker: whose point of view is it?</w:t>
            </w:r>
          </w:p>
        </w:tc>
        <w:tc>
          <w:tcPr>
            <w:tcW w:type="dxa" w:w="6624"/>
          </w:tcPr>
          <w:p>
            <w:r>
              <w:rPr>
                <w:sz w:val="20"/>
              </w:rPr>
            </w:r>
          </w:p>
        </w:tc>
      </w:tr>
    </w:tbl>
    <w:p>
      <w:pPr>
        <w:spacing w:after="80"/>
      </w:pPr>
    </w:p>
    <w:p>
      <w:pPr>
        <w:spacing w:after="40" w:before="0"/>
      </w:pPr>
      <w:r>
        <w:rPr>
          <w:b/>
          <w:i w:val="0"/>
          <w:color w:val="B22234"/>
          <w:sz w:val="24"/>
        </w:rPr>
        <w:t>HIPPO — analyze the source</w:t>
      </w:r>
    </w:p>
    <w:tbl>
      <w:tblPr>
        <w:tblStyle w:val="TableGrid"/>
        <w:tblW w:type="auto" w:w="0"/>
        <w:jc w:val="center"/>
        <w:tblLook w:firstColumn="1" w:firstRow="1" w:lastColumn="0" w:lastRow="0" w:noHBand="0" w:noVBand="1" w:val="04A0"/>
      </w:tblPr>
      <w:tblGrid>
        <w:gridCol w:w="4896"/>
        <w:gridCol w:w="4896"/>
      </w:tblGrid>
      <w:tr>
        <w:tc>
          <w:tcPr>
            <w:tcW w:type="dxa" w:w="3456"/>
          </w:tcPr>
          <w:p>
            <w:r>
              <w:rPr>
                <w:b/>
                <w:sz w:val="20"/>
              </w:rPr>
              <w:t>H — Historical context</w:t>
            </w:r>
          </w:p>
        </w:tc>
        <w:tc>
          <w:tcPr>
            <w:tcW w:type="dxa" w:w="6624"/>
          </w:tcPr>
          <w:p>
            <w:r>
              <w:rPr>
                <w:sz w:val="20"/>
              </w:rPr>
            </w:r>
          </w:p>
        </w:tc>
      </w:tr>
      <w:tr>
        <w:tc>
          <w:tcPr>
            <w:tcW w:type="dxa" w:w="3456"/>
          </w:tcPr>
          <w:p>
            <w:r>
              <w:rPr>
                <w:b/>
                <w:sz w:val="20"/>
              </w:rPr>
              <w:t>I — Intended audience</w:t>
            </w:r>
          </w:p>
        </w:tc>
        <w:tc>
          <w:tcPr>
            <w:tcW w:type="dxa" w:w="6624"/>
          </w:tcPr>
          <w:p>
            <w:r>
              <w:rPr>
                <w:sz w:val="20"/>
              </w:rPr>
            </w:r>
          </w:p>
        </w:tc>
      </w:tr>
      <w:tr>
        <w:tc>
          <w:tcPr>
            <w:tcW w:type="dxa" w:w="3456"/>
          </w:tcPr>
          <w:p>
            <w:r>
              <w:rPr>
                <w:b/>
                <w:sz w:val="20"/>
              </w:rPr>
              <w:t>P — Purpose</w:t>
            </w:r>
          </w:p>
        </w:tc>
        <w:tc>
          <w:tcPr>
            <w:tcW w:type="dxa" w:w="6624"/>
          </w:tcPr>
          <w:p>
            <w:r>
              <w:rPr>
                <w:sz w:val="20"/>
              </w:rPr>
            </w:r>
          </w:p>
        </w:tc>
      </w:tr>
      <w:tr>
        <w:tc>
          <w:tcPr>
            <w:tcW w:type="dxa" w:w="3456"/>
          </w:tcPr>
          <w:p>
            <w:r>
              <w:rPr>
                <w:b/>
                <w:sz w:val="20"/>
              </w:rPr>
              <w:t>P — Point of view</w:t>
            </w:r>
          </w:p>
        </w:tc>
        <w:tc>
          <w:tcPr>
            <w:tcW w:type="dxa" w:w="6624"/>
          </w:tcPr>
          <w:p>
            <w:r>
              <w:rPr>
                <w:sz w:val="20"/>
              </w:rPr>
            </w:r>
          </w:p>
        </w:tc>
      </w:tr>
      <w:tr>
        <w:tc>
          <w:tcPr>
            <w:tcW w:type="dxa" w:w="3456"/>
          </w:tcPr>
          <w:p>
            <w:r>
              <w:rPr>
                <w:b/>
                <w:sz w:val="20"/>
              </w:rPr>
              <w:t>O — Outside connection (to a unit standard)</w:t>
            </w:r>
          </w:p>
        </w:tc>
        <w:tc>
          <w:tcPr>
            <w:tcW w:type="dxa" w:w="6624"/>
          </w:tcPr>
          <w:p>
            <w:r>
              <w:rPr>
                <w:sz w:val="20"/>
              </w:rPr>
            </w:r>
          </w:p>
        </w:tc>
      </w:tr>
    </w:tbl>
    <w:p>
      <w:pPr>
        <w:spacing w:after="80"/>
      </w:pPr>
    </w:p>
    <w:p>
      <w:pPr>
        <w:spacing w:after="40" w:before="0"/>
      </w:pPr>
      <w:r>
        <w:rPr>
          <w:b w:val="0"/>
          <w:i/>
          <w:color w:val="606060"/>
          <w:sz w:val="20"/>
        </w:rPr>
        <w:t>Support option — sentence frame: “This source argues ______ because it ______, which reveals ______.”</w:t>
      </w:r>
    </w:p>
    <w:p>
      <w:pPr>
        <w:spacing w:after="120" w:before="0"/>
      </w:pPr>
      <w:r>
        <w:rPr>
          <w:b w:val="0"/>
          <w:i/>
          <w:color w:val="606060"/>
          <w:sz w:val="20"/>
        </w:rPr>
        <w:t>Response choice: you may answer these boxes in writing, by recording your spoken answer, or with a labeled diagram.</w:t>
      </w:r>
    </w:p>
    <w:p>
      <w:r>
        <w:br w:type="page"/>
      </w:r>
    </w:p>
    <w:p>
      <w:pPr>
        <w:spacing w:after="80" w:before="0"/>
      </w:pPr>
      <w:r>
        <w:rPr>
          <w:b/>
          <w:i w:val="0"/>
          <w:color w:val="1B2A4A"/>
          <w:sz w:val="30"/>
        </w:rPr>
        <w:t>Put the documents in conversation</w:t>
      </w:r>
    </w:p>
    <w:p>
      <w:pPr>
        <w:spacing w:after="80" w:before="0"/>
      </w:pPr>
      <w:r>
        <w:rPr>
          <w:b w:val="0"/>
          <w:i w:val="0"/>
          <w:color w:val="606060"/>
          <w:sz w:val="18"/>
        </w:rPr>
        <w:t>——————————————————————————————————————————————————————</w:t>
      </w:r>
    </w:p>
    <w:p>
      <w:pPr>
        <w:spacing w:after="120" w:before="0"/>
      </w:pPr>
      <w:r>
        <w:rPr>
          <w:b w:val="0"/>
          <w:i/>
          <w:color w:val="606060"/>
          <w:sz w:val="20"/>
        </w:rPr>
        <w:t>OPTIC (if your teacher pairs these texts with a portrait such as Rigaud’s Louis XIV): Overview · Parts · Title · Interrelationships · Conclusion — how does the image project the same idea of power that Document A defends?</w:t>
      </w:r>
    </w:p>
    <w:tbl>
      <w:tblPr>
        <w:tblStyle w:val="TableGrid"/>
        <w:tblW w:type="auto" w:w="0"/>
        <w:jc w:val="center"/>
        <w:tblLook w:firstColumn="1" w:firstRow="1" w:lastColumn="0" w:lastRow="0" w:noHBand="0" w:noVBand="1" w:val="04A0"/>
      </w:tblPr>
      <w:tblGrid>
        <w:gridCol w:w="4896"/>
        <w:gridCol w:w="4896"/>
      </w:tblGrid>
      <w:tr>
        <w:tc>
          <w:tcPr>
            <w:tcW w:type="dxa" w:w="5184"/>
          </w:tcPr>
          <w:p>
            <w:r>
              <w:rPr>
                <w:b/>
                <w:sz w:val="20"/>
              </w:rPr>
              <w:t>Where A (divine right) and B/C (consent) most directly DISAGREE</w:t>
            </w:r>
          </w:p>
        </w:tc>
        <w:tc>
          <w:tcPr>
            <w:tcW w:type="dxa" w:w="4896"/>
          </w:tcPr>
          <w:p>
            <w:r>
              <w:rPr>
                <w:sz w:val="20"/>
              </w:rPr>
            </w:r>
          </w:p>
        </w:tc>
      </w:tr>
      <w:tr>
        <w:tc>
          <w:tcPr>
            <w:tcW w:type="dxa" w:w="5184"/>
          </w:tcPr>
          <w:p>
            <w:r>
              <w:rPr>
                <w:b/>
                <w:sz w:val="20"/>
              </w:rPr>
              <w:t>Which document’s idea won out in later revolutions — and your evidence</w:t>
            </w:r>
          </w:p>
        </w:tc>
        <w:tc>
          <w:tcPr>
            <w:tcW w:type="dxa" w:w="4896"/>
          </w:tcPr>
          <w:p>
            <w:r>
              <w:rPr>
                <w:sz w:val="20"/>
              </w:rPr>
            </w:r>
          </w:p>
        </w:tc>
      </w:tr>
      <w:tr>
        <w:tc>
          <w:tcPr>
            <w:tcW w:type="dxa" w:w="5184"/>
          </w:tcPr>
          <w:p>
            <w:r>
              <w:rPr>
                <w:b/>
                <w:sz w:val="20"/>
              </w:rPr>
              <w:t>One question you still have</w:t>
            </w:r>
          </w:p>
        </w:tc>
        <w:tc>
          <w:tcPr>
            <w:tcW w:type="dxa" w:w="4896"/>
          </w:tcPr>
          <w:p>
            <w:r>
              <w:rPr>
                <w:sz w:val="20"/>
              </w:rPr>
            </w:r>
          </w:p>
        </w:tc>
      </w:tr>
    </w:tbl>
    <w:p>
      <w:pPr>
        <w:spacing w:after="80"/>
      </w:pPr>
    </w:p>
    <w:p>
      <w:r>
        <w:br w:type="page"/>
      </w:r>
    </w:p>
    <w:p>
      <w:pPr>
        <w:spacing w:after="80" w:before="0"/>
      </w:pPr>
      <w:r>
        <w:rPr>
          <w:b/>
          <w:i w:val="0"/>
          <w:color w:val="1B2A4A"/>
          <w:sz w:val="32"/>
        </w:rPr>
        <w:t>Build Your Argument (CER)</w:t>
      </w:r>
    </w:p>
    <w:p>
      <w:pPr>
        <w:spacing w:after="80" w:before="0"/>
      </w:pPr>
      <w:r>
        <w:rPr>
          <w:b w:val="0"/>
          <w:i w:val="0"/>
          <w:color w:val="606060"/>
          <w:sz w:val="18"/>
        </w:rPr>
        <w:t>——————————————————————————————————————————————————————</w:t>
      </w:r>
    </w:p>
    <w:p>
      <w:pPr>
        <w:spacing w:after="120" w:before="0"/>
      </w:pPr>
      <w:r>
        <w:rPr>
          <w:b/>
          <w:i w:val="0"/>
          <w:sz w:val="24"/>
        </w:rPr>
        <w:t>Should the power to rule come from God (divine right) or from the people (consent of the governed)? Write a claim, support it with evidence from at least TWO documents, and explain your reasoning.</w:t>
      </w:r>
    </w:p>
    <w:p>
      <w:pPr>
        <w:spacing w:after="120" w:before="0"/>
      </w:pPr>
      <w:r>
        <w:rPr>
          <w:b w:val="0"/>
          <w:i/>
          <w:color w:val="606060"/>
          <w:sz w:val="20"/>
        </w:rPr>
        <w:t>Argument frames (use if helpful): “The power to rule should come from ______.”  ·  “Document ___ supports this because it states ‘______.’”  ·  “This proves ______ because ______.”  ·  “Although Document ___ argues ______, the stronger case is ______.”</w:t>
      </w:r>
    </w:p>
    <w:tbl>
      <w:tblPr>
        <w:tblStyle w:val="TableGrid"/>
        <w:tblW w:type="auto" w:w="0"/>
        <w:jc w:val="center"/>
        <w:tblLook w:firstColumn="1" w:firstRow="1" w:lastColumn="0" w:lastRow="0" w:noHBand="0" w:noVBand="1" w:val="04A0"/>
      </w:tblPr>
      <w:tblGrid>
        <w:gridCol w:w="4896"/>
        <w:gridCol w:w="4896"/>
      </w:tblGrid>
      <w:tr>
        <w:tc>
          <w:tcPr>
            <w:tcW w:type="dxa" w:w="3456"/>
          </w:tcPr>
          <w:p>
            <w:r>
              <w:rPr>
                <w:b/>
                <w:sz w:val="20"/>
              </w:rPr>
              <w:t>CLAIM — answer the question</w:t>
            </w:r>
          </w:p>
        </w:tc>
        <w:tc>
          <w:tcPr>
            <w:tcW w:type="dxa" w:w="6624"/>
          </w:tcPr>
          <w:p>
            <w:r>
              <w:rPr>
                <w:sz w:val="20"/>
              </w:rPr>
            </w:r>
          </w:p>
        </w:tc>
      </w:tr>
      <w:tr>
        <w:tc>
          <w:tcPr>
            <w:tcW w:type="dxa" w:w="3456"/>
          </w:tcPr>
          <w:p>
            <w:r>
              <w:rPr>
                <w:b/>
                <w:sz w:val="20"/>
              </w:rPr>
              <w:t>EVIDENCE 1 — quote/cite a document</w:t>
            </w:r>
          </w:p>
        </w:tc>
        <w:tc>
          <w:tcPr>
            <w:tcW w:type="dxa" w:w="6624"/>
          </w:tcPr>
          <w:p>
            <w:r>
              <w:rPr>
                <w:sz w:val="20"/>
              </w:rPr>
            </w:r>
          </w:p>
        </w:tc>
      </w:tr>
      <w:tr>
        <w:tc>
          <w:tcPr>
            <w:tcW w:type="dxa" w:w="3456"/>
          </w:tcPr>
          <w:p>
            <w:r>
              <w:rPr>
                <w:b/>
                <w:sz w:val="20"/>
              </w:rPr>
              <w:t>EVIDENCE 2 — quote/cite a different document</w:t>
            </w:r>
          </w:p>
        </w:tc>
        <w:tc>
          <w:tcPr>
            <w:tcW w:type="dxa" w:w="6624"/>
          </w:tcPr>
          <w:p>
            <w:r>
              <w:rPr>
                <w:sz w:val="20"/>
              </w:rPr>
            </w:r>
          </w:p>
        </w:tc>
      </w:tr>
      <w:tr>
        <w:tc>
          <w:tcPr>
            <w:tcW w:type="dxa" w:w="3456"/>
          </w:tcPr>
          <w:p>
            <w:r>
              <w:rPr>
                <w:b/>
                <w:sz w:val="20"/>
              </w:rPr>
              <w:t>REASONING — how the evidence proves your claim</w:t>
            </w:r>
          </w:p>
        </w:tc>
        <w:tc>
          <w:tcPr>
            <w:tcW w:type="dxa" w:w="6624"/>
          </w:tcPr>
          <w:p>
            <w:r>
              <w:rPr>
                <w:sz w:val="20"/>
              </w:rPr>
            </w:r>
          </w:p>
        </w:tc>
      </w:tr>
      <w:tr>
        <w:tc>
          <w:tcPr>
            <w:tcW w:type="dxa" w:w="3456"/>
          </w:tcPr>
          <w:p>
            <w:r>
              <w:rPr>
                <w:b/>
                <w:sz w:val="20"/>
              </w:rPr>
              <w:t>COUNTERPOINT — address the other side</w:t>
            </w:r>
          </w:p>
        </w:tc>
        <w:tc>
          <w:tcPr>
            <w:tcW w:type="dxa" w:w="6624"/>
          </w:tcPr>
          <w:p>
            <w:r>
              <w:rPr>
                <w:sz w:val="20"/>
              </w:rPr>
            </w:r>
          </w:p>
        </w:tc>
      </w:tr>
    </w:tbl>
    <w:p>
      <w:pPr>
        <w:spacing w:after="80"/>
      </w:pPr>
    </w:p>
    <w:p>
      <w:pPr>
        <w:spacing w:after="120" w:before="0"/>
      </w:pPr>
      <w:r>
        <w:rPr>
          <w:b w:val="0"/>
          <w:i/>
          <w:color w:val="606060"/>
          <w:sz w:val="20"/>
        </w:rPr>
        <w:t>Self-check: Is my claim a clear answer? Do I cite TWO documents by letter? Does my reasoning explain HOW the evidence proves the claim? Did I address the other side?</w:t>
      </w:r>
    </w:p>
    <w:p>
      <w:r>
        <w:br w:type="page"/>
      </w:r>
    </w:p>
    <w:p>
      <w:pPr>
        <w:spacing w:after="80" w:before="0"/>
      </w:pPr>
      <w:r>
        <w:rPr>
          <w:b/>
          <w:i w:val="0"/>
          <w:color w:val="1B2A4A"/>
          <w:sz w:val="30"/>
        </w:rPr>
        <w:t>Language Access Companion (EN / ES)</w:t>
      </w:r>
    </w:p>
    <w:p>
      <w:pPr>
        <w:spacing w:after="80" w:before="0"/>
      </w:pPr>
      <w:r>
        <w:rPr>
          <w:b w:val="0"/>
          <w:i w:val="0"/>
          <w:color w:val="606060"/>
          <w:sz w:val="18"/>
        </w:rPr>
        <w:t>——————————————————————————————————————————————————————</w:t>
      </w:r>
    </w:p>
    <w:p>
      <w:pPr>
        <w:spacing w:after="120" w:before="0"/>
      </w:pPr>
      <w:r>
        <w:rPr>
          <w:b w:val="0"/>
          <w:i/>
          <w:color w:val="606060"/>
          <w:sz w:val="20"/>
        </w:rPr>
        <w:t>Key terms for this investigation, in English and Spanish. Términos clave para esta investigación, en inglés y español.</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color w:val="1B2A4A"/>
                <w:sz w:val="20"/>
              </w:rPr>
              <w:t>Term / Término</w:t>
            </w:r>
          </w:p>
        </w:tc>
        <w:tc>
          <w:tcPr>
            <w:tcW w:type="dxa" w:w="3264"/>
          </w:tcPr>
          <w:p>
            <w:r>
              <w:rPr>
                <w:b/>
                <w:color w:val="1B2A4A"/>
                <w:sz w:val="20"/>
              </w:rPr>
              <w:t>Spanish / Español</w:t>
            </w:r>
          </w:p>
        </w:tc>
        <w:tc>
          <w:tcPr>
            <w:tcW w:type="dxa" w:w="3264"/>
          </w:tcPr>
          <w:p>
            <w:r>
              <w:rPr>
                <w:b/>
                <w:color w:val="1B2A4A"/>
                <w:sz w:val="20"/>
              </w:rPr>
              <w:t>Meaning / Significado</w:t>
            </w:r>
          </w:p>
        </w:tc>
      </w:tr>
      <w:tr>
        <w:tc>
          <w:tcPr>
            <w:tcW w:type="dxa" w:w="3264"/>
          </w:tcPr>
          <w:p>
            <w:r>
              <w:rPr>
                <w:b/>
                <w:sz w:val="20"/>
              </w:rPr>
              <w:t>divine right</w:t>
            </w:r>
          </w:p>
        </w:tc>
        <w:tc>
          <w:tcPr>
            <w:tcW w:type="dxa" w:w="3264"/>
          </w:tcPr>
          <w:p>
            <w:r>
              <w:rPr>
                <w:sz w:val="20"/>
              </w:rPr>
              <w:t>derecho divino</w:t>
            </w:r>
          </w:p>
        </w:tc>
        <w:tc>
          <w:tcPr>
            <w:tcW w:type="dxa" w:w="3264"/>
          </w:tcPr>
          <w:p>
            <w:r>
              <w:rPr>
                <w:sz w:val="20"/>
              </w:rPr>
              <w:t>the belief a king’s power comes from God</w:t>
            </w:r>
          </w:p>
        </w:tc>
      </w:tr>
      <w:tr>
        <w:tc>
          <w:tcPr>
            <w:tcW w:type="dxa" w:w="3264"/>
          </w:tcPr>
          <w:p>
            <w:r>
              <w:rPr>
                <w:b/>
                <w:sz w:val="20"/>
              </w:rPr>
              <w:t>absolutism</w:t>
            </w:r>
          </w:p>
        </w:tc>
        <w:tc>
          <w:tcPr>
            <w:tcW w:type="dxa" w:w="3264"/>
          </w:tcPr>
          <w:p>
            <w:r>
              <w:rPr>
                <w:sz w:val="20"/>
              </w:rPr>
              <w:t>absolutismo</w:t>
            </w:r>
          </w:p>
        </w:tc>
        <w:tc>
          <w:tcPr>
            <w:tcW w:type="dxa" w:w="3264"/>
          </w:tcPr>
          <w:p>
            <w:r>
              <w:rPr>
                <w:sz w:val="20"/>
              </w:rPr>
              <w:t>total, centralized power in one monarch</w:t>
            </w:r>
          </w:p>
        </w:tc>
      </w:tr>
      <w:tr>
        <w:tc>
          <w:tcPr>
            <w:tcW w:type="dxa" w:w="3264"/>
          </w:tcPr>
          <w:p>
            <w:r>
              <w:rPr>
                <w:b/>
                <w:sz w:val="20"/>
              </w:rPr>
              <w:t>natural rights</w:t>
            </w:r>
          </w:p>
        </w:tc>
        <w:tc>
          <w:tcPr>
            <w:tcW w:type="dxa" w:w="3264"/>
          </w:tcPr>
          <w:p>
            <w:r>
              <w:rPr>
                <w:sz w:val="20"/>
              </w:rPr>
              <w:t>derechos naturales</w:t>
            </w:r>
          </w:p>
        </w:tc>
        <w:tc>
          <w:tcPr>
            <w:tcW w:type="dxa" w:w="3264"/>
          </w:tcPr>
          <w:p>
            <w:r>
              <w:rPr>
                <w:sz w:val="20"/>
              </w:rPr>
              <w:t>rights all people have by being human (Locke)</w:t>
            </w:r>
          </w:p>
        </w:tc>
      </w:tr>
      <w:tr>
        <w:tc>
          <w:tcPr>
            <w:tcW w:type="dxa" w:w="3264"/>
          </w:tcPr>
          <w:p>
            <w:r>
              <w:rPr>
                <w:b/>
                <w:sz w:val="20"/>
              </w:rPr>
              <w:t>consent of the governed</w:t>
            </w:r>
          </w:p>
        </w:tc>
        <w:tc>
          <w:tcPr>
            <w:tcW w:type="dxa" w:w="3264"/>
          </w:tcPr>
          <w:p>
            <w:r>
              <w:rPr>
                <w:sz w:val="20"/>
              </w:rPr>
              <w:t>consentimiento de los gobernados</w:t>
            </w:r>
          </w:p>
        </w:tc>
        <w:tc>
          <w:tcPr>
            <w:tcW w:type="dxa" w:w="3264"/>
          </w:tcPr>
          <w:p>
            <w:r>
              <w:rPr>
                <w:sz w:val="20"/>
              </w:rPr>
              <w:t>government’s power comes from the people</w:t>
            </w:r>
          </w:p>
        </w:tc>
      </w:tr>
      <w:tr>
        <w:tc>
          <w:tcPr>
            <w:tcW w:type="dxa" w:w="3264"/>
          </w:tcPr>
          <w:p>
            <w:r>
              <w:rPr>
                <w:b/>
                <w:sz w:val="20"/>
              </w:rPr>
              <w:t>unalienable rights</w:t>
            </w:r>
          </w:p>
        </w:tc>
        <w:tc>
          <w:tcPr>
            <w:tcW w:type="dxa" w:w="3264"/>
          </w:tcPr>
          <w:p>
            <w:r>
              <w:rPr>
                <w:sz w:val="20"/>
              </w:rPr>
              <w:t>derechos inalienables</w:t>
            </w:r>
          </w:p>
        </w:tc>
        <w:tc>
          <w:tcPr>
            <w:tcW w:type="dxa" w:w="3264"/>
          </w:tcPr>
          <w:p>
            <w:r>
              <w:rPr>
                <w:sz w:val="20"/>
              </w:rPr>
              <w:t>rights that cannot be taken away</w:t>
            </w:r>
          </w:p>
        </w:tc>
      </w:tr>
      <w:tr>
        <w:tc>
          <w:tcPr>
            <w:tcW w:type="dxa" w:w="3264"/>
          </w:tcPr>
          <w:p>
            <w:r>
              <w:rPr>
                <w:b/>
                <w:sz w:val="20"/>
              </w:rPr>
              <w:t>social contract</w:t>
            </w:r>
          </w:p>
        </w:tc>
        <w:tc>
          <w:tcPr>
            <w:tcW w:type="dxa" w:w="3264"/>
          </w:tcPr>
          <w:p>
            <w:r>
              <w:rPr>
                <w:sz w:val="20"/>
              </w:rPr>
              <w:t>contrato social</w:t>
            </w:r>
          </w:p>
        </w:tc>
        <w:tc>
          <w:tcPr>
            <w:tcW w:type="dxa" w:w="3264"/>
          </w:tcPr>
          <w:p>
            <w:r>
              <w:rPr>
                <w:sz w:val="20"/>
              </w:rPr>
              <w:t>the agreement between rulers and the people</w:t>
            </w:r>
          </w:p>
        </w:tc>
      </w:tr>
    </w:tbl>
    <w:p>
      <w:pPr>
        <w:spacing w:after="120" w:before="0"/>
      </w:pPr>
      <w:r>
        <w:rPr>
          <w:b w:val="0"/>
          <w:i w:val="0"/>
          <w:sz w:val="22"/>
        </w:rPr>
      </w:r>
    </w:p>
    <w:p>
      <w:pPr>
        <w:spacing w:after="120" w:before="0"/>
      </w:pPr>
      <w:r>
        <w:rPr>
          <w:b w:val="0"/>
          <w:i/>
          <w:color w:val="606060"/>
          <w:sz w:val="20"/>
        </w:rPr>
        <w:t>Frame in both languages: “The power to rule should come from ______, because ______.”  /  “El poder para gobernar debe venir de ______, porque ______.”</w:t>
      </w:r>
    </w:p>
    <w:p>
      <w:r>
        <w:br w:type="page"/>
      </w:r>
    </w:p>
    <w:p>
      <w:pPr>
        <w:spacing w:after="80" w:before="0"/>
      </w:pPr>
      <w:r>
        <w:rPr>
          <w:b/>
          <w:i w:val="0"/>
          <w:color w:val="B22234"/>
          <w:sz w:val="30"/>
        </w:rPr>
        <w:t>TEACHER GUIDE — keep this section; do not distribute</w:t>
      </w:r>
    </w:p>
    <w:p>
      <w:pPr>
        <w:spacing w:after="80" w:before="0"/>
      </w:pPr>
      <w:r>
        <w:rPr>
          <w:b w:val="0"/>
          <w:i w:val="0"/>
          <w:color w:val="606060"/>
          <w:sz w:val="18"/>
        </w:rPr>
        <w:t>——————————————————————————————————————————————————————</w:t>
      </w:r>
    </w:p>
    <w:p>
      <w:pPr>
        <w:spacing w:after="120" w:before="0"/>
      </w:pPr>
      <w:r>
        <w:rPr>
          <w:b w:val="0"/>
          <w:i w:val="0"/>
          <w:sz w:val="22"/>
        </w:rPr>
        <w:t>Purpose &amp; standards. This investigation lets students weigh the divine right of kings (W.01) against the Enlightenment ideas of natural rights and consent of the governed (W.03) and their spread into the Declaration of Independence (W.08a). It builds SSP.01–SSP.04 (source, examine, synthesize, argue).</w:t>
      </w:r>
    </w:p>
    <w:p>
      <w:pPr>
        <w:spacing w:after="40" w:before="0"/>
      </w:pPr>
      <w:r>
        <w:rPr>
          <w:b/>
          <w:i w:val="0"/>
          <w:sz w:val="22"/>
        </w:rPr>
        <w:t>Document keys / what to look for:</w:t>
      </w:r>
    </w:p>
    <w:tbl>
      <w:tblPr>
        <w:tblStyle w:val="TableGrid"/>
        <w:tblW w:type="auto" w:w="0"/>
        <w:jc w:val="center"/>
        <w:tblLook w:firstColumn="1" w:firstRow="1" w:lastColumn="0" w:lastRow="0" w:noHBand="0" w:noVBand="1" w:val="04A0"/>
      </w:tblPr>
      <w:tblGrid>
        <w:gridCol w:w="4896"/>
        <w:gridCol w:w="4896"/>
      </w:tblGrid>
      <w:tr>
        <w:tc>
          <w:tcPr>
            <w:tcW w:type="dxa" w:w="3168"/>
          </w:tcPr>
          <w:p>
            <w:r>
              <w:rPr>
                <w:b/>
                <w:sz w:val="20"/>
              </w:rPr>
              <w:t>Doc A (James I, 1610)</w:t>
            </w:r>
          </w:p>
        </w:tc>
        <w:tc>
          <w:tcPr>
            <w:tcW w:type="dxa" w:w="7200"/>
          </w:tcPr>
          <w:p>
            <w:r>
              <w:rPr>
                <w:sz w:val="20"/>
              </w:rPr>
              <w:t>Classic divine-right claim: kings answer only to God. Point of view: a reigning monarch defending royal power.</w:t>
            </w:r>
          </w:p>
        </w:tc>
      </w:tr>
      <w:tr>
        <w:tc>
          <w:tcPr>
            <w:tcW w:type="dxa" w:w="3168"/>
          </w:tcPr>
          <w:p>
            <w:r>
              <w:rPr>
                <w:b/>
                <w:sz w:val="20"/>
              </w:rPr>
              <w:t>Doc B (Locke, 1689)</w:t>
            </w:r>
          </w:p>
        </w:tc>
        <w:tc>
          <w:tcPr>
            <w:tcW w:type="dxa" w:w="7200"/>
          </w:tcPr>
          <w:p>
            <w:r>
              <w:rPr>
                <w:sz w:val="20"/>
              </w:rPr>
              <w:t>Consent + majority rule; no legitimate power over a person without consent. The Enlightenment counter-argument.</w:t>
            </w:r>
          </w:p>
        </w:tc>
      </w:tr>
      <w:tr>
        <w:tc>
          <w:tcPr>
            <w:tcW w:type="dxa" w:w="3168"/>
          </w:tcPr>
          <w:p>
            <w:r>
              <w:rPr>
                <w:b/>
                <w:sz w:val="20"/>
              </w:rPr>
              <w:t>Doc C (Declaration, 1776)</w:t>
            </w:r>
          </w:p>
        </w:tc>
        <w:tc>
          <w:tcPr>
            <w:tcW w:type="dxa" w:w="7200"/>
          </w:tcPr>
          <w:p>
            <w:r>
              <w:rPr>
                <w:sz w:val="20"/>
              </w:rPr>
              <w:t>Locke’s ideas in action: unalienable rights + “consent of the governed.” Shows ideas moving into revolution.</w:t>
            </w:r>
          </w:p>
        </w:tc>
      </w:tr>
    </w:tbl>
    <w:p>
      <w:pPr>
        <w:spacing w:after="80"/>
      </w:pPr>
    </w:p>
    <w:p>
      <w:pPr>
        <w:spacing w:after="40" w:before="0"/>
      </w:pPr>
      <w:r>
        <w:rPr>
          <w:b/>
          <w:i w:val="0"/>
          <w:sz w:val="22"/>
        </w:rPr>
        <w:t>Point rubric (10 pts):</w:t>
      </w:r>
    </w:p>
    <w:tbl>
      <w:tblPr>
        <w:tblStyle w:val="TableGrid"/>
        <w:tblW w:type="auto" w:w="0"/>
        <w:jc w:val="center"/>
        <w:tblLook w:firstColumn="1" w:firstRow="1" w:lastColumn="0" w:lastRow="0" w:noHBand="0" w:noVBand="1" w:val="04A0"/>
      </w:tblPr>
      <w:tblGrid>
        <w:gridCol w:w="4896"/>
        <w:gridCol w:w="4896"/>
      </w:tblGrid>
      <w:tr>
        <w:tc>
          <w:tcPr>
            <w:tcW w:type="dxa" w:w="6336"/>
          </w:tcPr>
          <w:p>
            <w:r>
              <w:rPr>
                <w:b/>
                <w:sz w:val="20"/>
              </w:rPr>
              <w:t>Claim answers the question (2)</w:t>
            </w:r>
          </w:p>
        </w:tc>
        <w:tc>
          <w:tcPr>
            <w:tcW w:type="dxa" w:w="3744"/>
          </w:tcPr>
          <w:p>
            <w:r>
              <w:rPr>
                <w:sz w:val="20"/>
              </w:rPr>
            </w:r>
          </w:p>
        </w:tc>
      </w:tr>
      <w:tr>
        <w:tc>
          <w:tcPr>
            <w:tcW w:type="dxa" w:w="6336"/>
          </w:tcPr>
          <w:p>
            <w:r>
              <w:rPr>
                <w:b/>
                <w:sz w:val="20"/>
              </w:rPr>
              <w:t>Evidence cites ≥2 documents accurately (3)</w:t>
            </w:r>
          </w:p>
        </w:tc>
        <w:tc>
          <w:tcPr>
            <w:tcW w:type="dxa" w:w="3744"/>
          </w:tcPr>
          <w:p>
            <w:r>
              <w:rPr>
                <w:sz w:val="20"/>
              </w:rPr>
            </w:r>
          </w:p>
        </w:tc>
      </w:tr>
      <w:tr>
        <w:tc>
          <w:tcPr>
            <w:tcW w:type="dxa" w:w="6336"/>
          </w:tcPr>
          <w:p>
            <w:r>
              <w:rPr>
                <w:b/>
                <w:sz w:val="20"/>
              </w:rPr>
              <w:t>Reasoning explains how evidence proves the claim (3)</w:t>
            </w:r>
          </w:p>
        </w:tc>
        <w:tc>
          <w:tcPr>
            <w:tcW w:type="dxa" w:w="3744"/>
          </w:tcPr>
          <w:p>
            <w:r>
              <w:rPr>
                <w:sz w:val="20"/>
              </w:rPr>
            </w:r>
          </w:p>
        </w:tc>
      </w:tr>
      <w:tr>
        <w:tc>
          <w:tcPr>
            <w:tcW w:type="dxa" w:w="6336"/>
          </w:tcPr>
          <w:p>
            <w:r>
              <w:rPr>
                <w:b/>
                <w:sz w:val="20"/>
              </w:rPr>
              <w:t>Addresses the counter-position (1)</w:t>
            </w:r>
          </w:p>
        </w:tc>
        <w:tc>
          <w:tcPr>
            <w:tcW w:type="dxa" w:w="3744"/>
          </w:tcPr>
          <w:p>
            <w:r>
              <w:rPr>
                <w:sz w:val="20"/>
              </w:rPr>
            </w:r>
          </w:p>
        </w:tc>
      </w:tr>
      <w:tr>
        <w:tc>
          <w:tcPr>
            <w:tcW w:type="dxa" w:w="6336"/>
          </w:tcPr>
          <w:p>
            <w:r>
              <w:rPr>
                <w:b/>
                <w:sz w:val="20"/>
              </w:rPr>
              <w:t>Uses academic vocabulary correctly (1)</w:t>
            </w:r>
          </w:p>
        </w:tc>
        <w:tc>
          <w:tcPr>
            <w:tcW w:type="dxa" w:w="3744"/>
          </w:tcPr>
          <w:p>
            <w:r>
              <w:rPr>
                <w:sz w:val="20"/>
              </w:rPr>
            </w:r>
          </w:p>
        </w:tc>
      </w:tr>
    </w:tbl>
    <w:p>
      <w:pPr>
        <w:spacing w:after="80"/>
      </w:pPr>
    </w:p>
    <w:p>
      <w:pPr>
        <w:spacing w:after="120" w:before="0"/>
      </w:pPr>
      <w:r>
        <w:rPr>
          <w:b w:val="0"/>
          <w:i w:val="0"/>
          <w:sz w:val="22"/>
        </w:rPr>
        <w:t>Reteach (MTSS). Tier 2: small-group — re-read Doc B and Doc C side by side, highlight every phrase about "consent," then rebuild the claim with the frame. Tier 3: 1:1 concrete→representational→abstract — sort the three documents into "power from God" vs. "power from the people," then co-construct one sentence of reasoning; progress-monitor to the same standard.</w:t>
      </w:r>
    </w:p>
    <w:p>
      <w:pPr>
        <w:spacing w:after="40" w:before="0"/>
      </w:pPr>
      <w:r>
        <w:rPr>
          <w:b/>
          <w:i w:val="0"/>
          <w:sz w:val="22"/>
        </w:rPr>
        <w:t>Schedule F self-score (TN textbook adoption):</w:t>
      </w:r>
    </w:p>
    <w:tbl>
      <w:tblPr>
        <w:tblStyle w:val="TableGrid"/>
        <w:tblW w:type="auto" w:w="0"/>
        <w:jc w:val="center"/>
        <w:tblLook w:firstColumn="1" w:firstRow="1" w:lastColumn="0" w:lastRow="0" w:noHBand="0" w:noVBand="1" w:val="04A0"/>
      </w:tblPr>
      <w:tblGrid>
        <w:gridCol w:w="4896"/>
        <w:gridCol w:w="4896"/>
      </w:tblGrid>
      <w:tr>
        <w:tc>
          <w:tcPr>
            <w:tcW w:type="dxa" w:w="7776"/>
          </w:tcPr>
          <w:p>
            <w:r>
              <w:rPr>
                <w:b/>
                <w:sz w:val="20"/>
              </w:rPr>
              <w:t>Standards alignment — W.01/W.03/W.08a addressed with primary sources</w:t>
            </w:r>
          </w:p>
        </w:tc>
        <w:tc>
          <w:tcPr>
            <w:tcW w:type="dxa" w:w="2304"/>
          </w:tcPr>
          <w:p>
            <w:r>
              <w:rPr>
                <w:sz w:val="20"/>
              </w:rPr>
              <w:t>✔</w:t>
            </w:r>
          </w:p>
        </w:tc>
      </w:tr>
      <w:tr>
        <w:tc>
          <w:tcPr>
            <w:tcW w:type="dxa" w:w="7776"/>
          </w:tcPr>
          <w:p>
            <w:r>
              <w:rPr>
                <w:b/>
                <w:sz w:val="20"/>
              </w:rPr>
              <w:t>Primary sources genuinely public-domain and cited</w:t>
            </w:r>
          </w:p>
        </w:tc>
        <w:tc>
          <w:tcPr>
            <w:tcW w:type="dxa" w:w="2304"/>
          </w:tcPr>
          <w:p>
            <w:r>
              <w:rPr>
                <w:sz w:val="20"/>
              </w:rPr>
              <w:t>✔</w:t>
            </w:r>
          </w:p>
        </w:tc>
      </w:tr>
      <w:tr>
        <w:tc>
          <w:tcPr>
            <w:tcW w:type="dxa" w:w="7776"/>
          </w:tcPr>
          <w:p>
            <w:r>
              <w:rPr>
                <w:b/>
                <w:sz w:val="20"/>
              </w:rPr>
              <w:t>Balanced perspectives (divine right AND consent presented fairly)</w:t>
            </w:r>
          </w:p>
        </w:tc>
        <w:tc>
          <w:tcPr>
            <w:tcW w:type="dxa" w:w="2304"/>
          </w:tcPr>
          <w:p>
            <w:r>
              <w:rPr>
                <w:sz w:val="20"/>
              </w:rPr>
              <w:t>✔</w:t>
            </w:r>
          </w:p>
        </w:tc>
      </w:tr>
      <w:tr>
        <w:tc>
          <w:tcPr>
            <w:tcW w:type="dxa" w:w="7776"/>
          </w:tcPr>
          <w:p>
            <w:r>
              <w:rPr>
                <w:b/>
                <w:sz w:val="20"/>
              </w:rPr>
              <w:t>Accessibility — UDL 3.0 supports + EN/ES companion + response choice</w:t>
            </w:r>
          </w:p>
        </w:tc>
        <w:tc>
          <w:tcPr>
            <w:tcW w:type="dxa" w:w="2304"/>
          </w:tcPr>
          <w:p>
            <w:r>
              <w:rPr>
                <w:sz w:val="20"/>
              </w:rPr>
              <w:t>✔</w:t>
            </w:r>
          </w:p>
        </w:tc>
      </w:tr>
      <w:tr>
        <w:tc>
          <w:tcPr>
            <w:tcW w:type="dxa" w:w="7776"/>
          </w:tcPr>
          <w:p>
            <w:r>
              <w:rPr>
                <w:b/>
                <w:sz w:val="20"/>
              </w:rPr>
              <w:t>Assessment labeled classroom-formative · pre-field-test</w:t>
            </w:r>
          </w:p>
        </w:tc>
        <w:tc>
          <w:tcPr>
            <w:tcW w:type="dxa" w:w="2304"/>
          </w:tcPr>
          <w:p>
            <w:r>
              <w:rPr>
                <w:sz w:val="20"/>
              </w:rPr>
              <w:t>✔</w:t>
            </w:r>
          </w:p>
        </w:tc>
      </w:tr>
    </w:tbl>
    <w:p>
      <w:pPr>
        <w:spacing w:after="80"/>
      </w:pPr>
    </w:p>
    <w:p>
      <w:pPr>
        <w:spacing w:after="120" w:before="0"/>
      </w:pPr>
      <w:r>
        <w:rPr>
          <w:b w:val="0"/>
          <w:i/>
          <w:color w:val="606060"/>
          <w:sz w:val="18"/>
        </w:rPr>
        <w:t>Attribution. Document excerpts are public domain. Any connecting narrative is World History Hack-authored instructional synthesis, not presented as a primary source.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