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3</w:t>
      </w:r>
    </w:p>
    <w:p>
      <w:pPr>
        <w:spacing w:after="120"/>
        <w:jc w:val="center"/>
      </w:pPr>
      <w:r>
        <w:rPr>
          <w:b/>
          <w:bCs/>
          <w:i w:val="false"/>
          <w:iCs w:val="false"/>
          <w:color w:val="1B2A4A"/>
          <w:sz w:val="48"/>
          <w:szCs w:val="48"/>
          <w:caps w:val="false"/>
          <w:rFonts w:ascii="Calibri" w:cs="Calibri" w:eastAsia="Calibri" w:hAnsi="Calibri"/>
        </w:rPr>
        <w:t xml:space="preserve">The Legislative Branch</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30"/>
                <w:szCs w:val="3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30"/>
                <w:szCs w:val="3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30"/>
                <w:szCs w:val="3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GC.35 — Citizenship &amp; Naturalization</w:t>
      </w:r>
    </w:p>
    <w:p>
      <w:pPr>
        <w:spacing w:after="60"/>
      </w:pPr>
      <w:r>
        <w:rPr>
          <w:b/>
          <w:bCs/>
          <w:i w:val="false"/>
          <w:iCs w:val="false"/>
          <w:color w:val="1A1A1A"/>
          <w:sz w:val="33"/>
          <w:szCs w:val="33"/>
          <w:caps w:val="false"/>
          <w:rFonts w:ascii="Calibri" w:cs="Calibri" w:eastAsia="Calibri" w:hAnsi="Calibri"/>
        </w:rPr>
        <w:t xml:space="preserve">TN Academic Standard GC.35: </w:t>
      </w:r>
      <w:r>
        <w:rPr>
          <w:b w:val="false"/>
          <w:bCs w:val="false"/>
          <w:i w:val="false"/>
          <w:iCs w:val="false"/>
          <w:color w:val="1A1A1A"/>
          <w:sz w:val="33"/>
          <w:szCs w:val="33"/>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Natural-Born Citizen</w:t>
            </w:r>
            <w:r>
              <w:rPr>
                <w:b w:val="false"/>
                <w:bCs w:val="false"/>
                <w:i w:val="false"/>
                <w:iCs w:val="false"/>
                <w:color w:val="D9D5C8"/>
                <w:sz w:val="27"/>
                <w:szCs w:val="27"/>
                <w:caps w:val="false"/>
                <w:rFonts w:ascii="Calibri" w:cs="Calibri" w:eastAsia="Calibri" w:hAnsi="Calibri"/>
              </w:rPr>
              <w:t xml:space="preserve">      ·   ES: ciudadano por nacimiento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“Natural-Born Citizen”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Naturalization</w:t>
            </w:r>
            <w:r>
              <w:rPr>
                <w:b w:val="false"/>
                <w:bCs w:val="false"/>
                <w:i w:val="false"/>
                <w:iCs w:val="false"/>
                <w:color w:val="D9D5C8"/>
                <w:sz w:val="27"/>
                <w:szCs w:val="27"/>
                <w:caps w:val="false"/>
                <w:rFonts w:ascii="Calibri" w:cs="Calibri" w:eastAsia="Calibri" w:hAnsi="Calibri"/>
              </w:rPr>
              <w:t xml:space="preserve">      ·   ES: naturalización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“Naturalization”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32"/>
                <w:szCs w:val="32"/>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32"/>
                <w:szCs w:val="32"/>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32"/>
                <w:szCs w:val="32"/>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32"/>
                <w:szCs w:val="32"/>
                <w:caps w:val="false"/>
                <w:rFonts w:ascii="Calibri" w:cs="Calibri" w:eastAsia="Calibri" w:hAnsi="Calibri"/>
              </w:rPr>
              <w:t xml:space="preserve">D.   To require every citizen to pass the Naturalization Test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 What must a foreign-born person do to naturalize, and why include a civics test?</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30"/>
          <w:szCs w:val="3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30"/>
          <w:szCs w:val="3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u3-gc35-dok1-1 · pre-field-test]</w:t>
      </w:r>
    </w:p>
    <w:p>
      <w:pPr>
        <w:spacing w:after="100"/>
      </w:pPr>
      <w:r>
        <w:rPr>
          <w:b/>
          <w:bCs/>
          <w:i w:val="false"/>
          <w:iCs w:val="false"/>
          <w:color w:val="1A1A1A"/>
          <w:sz w:val="32"/>
          <w:szCs w:val="32"/>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30"/>
          <w:szCs w:val="30"/>
          <w:caps w:val="false"/>
          <w:rFonts w:ascii="Calibri" w:cs="Calibri" w:eastAsia="Calibri" w:hAnsi="Calibri"/>
        </w:rPr>
        <w:t xml:space="preserve">A. Naturalization</w:t>
      </w:r>
    </w:p>
    <w:p>
      <w:pPr>
        <w:spacing w:after="20"/>
        <w:ind w:left="260"/>
      </w:pPr>
      <w:r>
        <w:rPr>
          <w:b w:val="false"/>
          <w:bCs w:val="false"/>
          <w:i w:val="false"/>
          <w:iCs w:val="false"/>
          <w:color w:val="1A1A1A"/>
          <w:sz w:val="30"/>
          <w:szCs w:val="30"/>
          <w:caps w:val="false"/>
          <w:rFonts w:ascii="Calibri" w:cs="Calibri" w:eastAsia="Calibri" w:hAnsi="Calibri"/>
        </w:rPr>
        <w:t xml:space="preserve">B. Apportionment</w:t>
      </w:r>
    </w:p>
    <w:p>
      <w:pPr>
        <w:spacing w:after="20"/>
        <w:ind w:left="260"/>
      </w:pPr>
      <w:r>
        <w:rPr>
          <w:b w:val="false"/>
          <w:bCs w:val="false"/>
          <w:i w:val="false"/>
          <w:iCs w:val="false"/>
          <w:color w:val="1A1A1A"/>
          <w:sz w:val="30"/>
          <w:szCs w:val="30"/>
          <w:caps w:val="false"/>
          <w:rFonts w:ascii="Calibri" w:cs="Calibri" w:eastAsia="Calibri" w:hAnsi="Calibri"/>
        </w:rPr>
        <w:t xml:space="preserve">C. Cloture</w:t>
      </w:r>
    </w:p>
    <w:p>
      <w:pPr>
        <w:spacing w:after="20"/>
        <w:ind w:left="260"/>
      </w:pPr>
      <w:r>
        <w:rPr>
          <w:b w:val="false"/>
          <w:bCs w:val="false"/>
          <w:i w:val="false"/>
          <w:iCs w:val="false"/>
          <w:color w:val="1A1A1A"/>
          <w:sz w:val="30"/>
          <w:szCs w:val="30"/>
          <w:caps w:val="false"/>
          <w:rFonts w:ascii="Calibri" w:cs="Calibri" w:eastAsia="Calibri" w:hAnsi="Calibri"/>
        </w:rPr>
        <w:t xml:space="preserve">D. Ratification</w:t>
      </w:r>
    </w:p>
    <w:p>
      <w:pPr>
        <w:spacing w:after="100"/>
      </w:pPr>
      <w:r>
        <w:rPr>
          <w:b/>
          <w:bCs/>
          <w:i w:val="false"/>
          <w:iCs w:val="false"/>
          <w:color w:val="6B7280"/>
          <w:sz w:val="27"/>
          <w:szCs w:val="27"/>
          <w:caps w:val="false"/>
          <w:rFonts w:ascii="Calibri" w:cs="Calibri" w:eastAsia="Calibri" w:hAnsi="Calibri"/>
        </w:rPr>
        <w:t xml:space="preserve">[DOK 2 · item u1-gc35-dok2-tc · pre-field-test]</w:t>
      </w:r>
    </w:p>
    <w:p>
      <w:pPr>
        <w:spacing w:after="100"/>
      </w:pPr>
      <w:r>
        <w:rPr>
          <w:b/>
          <w:bCs/>
          <w:i w:val="false"/>
          <w:iCs w:val="false"/>
          <w:color w:val="1A1A1A"/>
          <w:sz w:val="32"/>
          <w:szCs w:val="32"/>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30"/>
          <w:szCs w:val="3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30"/>
          <w:szCs w:val="3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30"/>
          <w:szCs w:val="3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30"/>
          <w:szCs w:val="3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GC.10 — Article I &amp; the 17th Amendment</w:t>
      </w:r>
    </w:p>
    <w:p>
      <w:pPr>
        <w:spacing w:after="60"/>
      </w:pPr>
      <w:r>
        <w:rPr>
          <w:b/>
          <w:bCs/>
          <w:i w:val="false"/>
          <w:iCs w:val="false"/>
          <w:color w:val="1A1A1A"/>
          <w:sz w:val="33"/>
          <w:szCs w:val="33"/>
          <w:caps w:val="false"/>
          <w:rFonts w:ascii="Calibri" w:cs="Calibri" w:eastAsia="Calibri" w:hAnsi="Calibri"/>
        </w:rPr>
        <w:t xml:space="preserve">TN Academic Standard GC.10: </w:t>
      </w:r>
      <w:r>
        <w:rPr>
          <w:b w:val="false"/>
          <w:bCs w:val="false"/>
          <w:i w:val="false"/>
          <w:iCs w:val="false"/>
          <w:color w:val="1A1A1A"/>
          <w:sz w:val="33"/>
          <w:szCs w:val="33"/>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Bicameral</w:t>
            </w:r>
            <w:r>
              <w:rPr>
                <w:b w:val="false"/>
                <w:bCs w:val="false"/>
                <w:i w:val="false"/>
                <w:iCs w:val="false"/>
                <w:color w:val="D9D5C8"/>
                <w:sz w:val="27"/>
                <w:szCs w:val="27"/>
                <w:caps w:val="false"/>
                <w:rFonts w:ascii="Calibri" w:cs="Calibri" w:eastAsia="Calibri" w:hAnsi="Calibri"/>
              </w:rPr>
              <w:t xml:space="preserve">      ·   ES: bicameral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“Bicameral”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Apportionment</w:t>
            </w:r>
            <w:r>
              <w:rPr>
                <w:b w:val="false"/>
                <w:bCs w:val="false"/>
                <w:i w:val="false"/>
                <w:iCs w:val="false"/>
                <w:color w:val="D9D5C8"/>
                <w:sz w:val="27"/>
                <w:szCs w:val="27"/>
                <w:caps w:val="false"/>
                <w:rFonts w:ascii="Calibri" w:cs="Calibri" w:eastAsia="Calibri" w:hAnsi="Calibri"/>
              </w:rPr>
              <w:t xml:space="preserve">      ·   ES: prorrateo / distribución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“Apportionment”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32"/>
                <w:szCs w:val="32"/>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32"/>
                <w:szCs w:val="32"/>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32"/>
                <w:szCs w:val="32"/>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32"/>
                <w:szCs w:val="32"/>
                <w:caps w:val="false"/>
                <w:rFonts w:ascii="Calibri" w:cs="Calibri" w:eastAsia="Calibri" w:hAnsi="Calibri"/>
              </w:rPr>
              <w:t xml:space="preserve">D.   The Senate lost its power to confirm appointments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 Why are House seats reapportioned after each census?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30"/>
          <w:szCs w:val="3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30"/>
          <w:szCs w:val="30"/>
          <w:caps w:val="false"/>
          <w:rFonts w:ascii="Calibri" w:cs="Calibri" w:eastAsia="Calibri" w:hAnsi="Calibri"/>
        </w:rPr>
        <w:t xml:space="preserve">3. Why are House seats reapportioned after each census?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u3-gc10-dok1-1 · pre-field-test]</w:t>
      </w:r>
    </w:p>
    <w:p>
      <w:pPr>
        <w:spacing w:after="100"/>
      </w:pPr>
      <w:r>
        <w:rPr>
          <w:b/>
          <w:bCs/>
          <w:i w:val="false"/>
          <w:iCs w:val="false"/>
          <w:color w:val="1A1A1A"/>
          <w:sz w:val="32"/>
          <w:szCs w:val="32"/>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30"/>
          <w:szCs w:val="30"/>
          <w:caps w:val="false"/>
          <w:rFonts w:ascii="Calibri" w:cs="Calibri" w:eastAsia="Calibri" w:hAnsi="Calibri"/>
        </w:rPr>
        <w:t xml:space="preserve">A. Two years</w:t>
      </w:r>
    </w:p>
    <w:p>
      <w:pPr>
        <w:spacing w:after="20"/>
        <w:ind w:left="260"/>
      </w:pPr>
      <w:r>
        <w:rPr>
          <w:b w:val="false"/>
          <w:bCs w:val="false"/>
          <w:i w:val="false"/>
          <w:iCs w:val="false"/>
          <w:color w:val="1A1A1A"/>
          <w:sz w:val="30"/>
          <w:szCs w:val="30"/>
          <w:caps w:val="false"/>
          <w:rFonts w:ascii="Calibri" w:cs="Calibri" w:eastAsia="Calibri" w:hAnsi="Calibri"/>
        </w:rPr>
        <w:t xml:space="preserve">B. Four years</w:t>
      </w:r>
    </w:p>
    <w:p>
      <w:pPr>
        <w:spacing w:after="20"/>
        <w:ind w:left="260"/>
      </w:pPr>
      <w:r>
        <w:rPr>
          <w:b w:val="false"/>
          <w:bCs w:val="false"/>
          <w:i w:val="false"/>
          <w:iCs w:val="false"/>
          <w:color w:val="1A1A1A"/>
          <w:sz w:val="30"/>
          <w:szCs w:val="30"/>
          <w:caps w:val="false"/>
          <w:rFonts w:ascii="Calibri" w:cs="Calibri" w:eastAsia="Calibri" w:hAnsi="Calibri"/>
        </w:rPr>
        <w:t xml:space="preserve">C. Six years</w:t>
      </w:r>
    </w:p>
    <w:p>
      <w:pPr>
        <w:spacing w:after="20"/>
        <w:ind w:left="260"/>
      </w:pPr>
      <w:r>
        <w:rPr>
          <w:b w:val="false"/>
          <w:bCs w:val="false"/>
          <w:i w:val="false"/>
          <w:iCs w:val="false"/>
          <w:color w:val="1A1A1A"/>
          <w:sz w:val="30"/>
          <w:szCs w:val="30"/>
          <w:caps w:val="false"/>
          <w:rFonts w:ascii="Calibri" w:cs="Calibri" w:eastAsia="Calibri" w:hAnsi="Calibri"/>
        </w:rPr>
        <w:t xml:space="preserve">D. Life</w:t>
      </w:r>
    </w:p>
    <w:p>
      <w:pPr>
        <w:spacing w:after="100"/>
      </w:pPr>
      <w:r>
        <w:rPr>
          <w:b/>
          <w:bCs/>
          <w:i w:val="false"/>
          <w:iCs w:val="false"/>
          <w:color w:val="6B7280"/>
          <w:sz w:val="27"/>
          <w:szCs w:val="27"/>
          <w:caps w:val="false"/>
          <w:rFonts w:ascii="Calibri" w:cs="Calibri" w:eastAsia="Calibri" w:hAnsi="Calibri"/>
        </w:rPr>
        <w:t xml:space="preserve">[DOK 2 · item u1-gc10-dok2-tc · pre-field-test]</w:t>
      </w:r>
    </w:p>
    <w:p>
      <w:pPr>
        <w:spacing w:after="100"/>
      </w:pPr>
      <w:r>
        <w:rPr>
          <w:b/>
          <w:bCs/>
          <w:i w:val="false"/>
          <w:iCs w:val="false"/>
          <w:color w:val="1A1A1A"/>
          <w:sz w:val="32"/>
          <w:szCs w:val="32"/>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30"/>
          <w:szCs w:val="3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30"/>
          <w:szCs w:val="3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30"/>
          <w:szCs w:val="3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30"/>
          <w:szCs w:val="3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GC.11 — Census, Redistricting &amp; Baker v. Carr</w:t>
      </w:r>
    </w:p>
    <w:p>
      <w:pPr>
        <w:spacing w:after="60"/>
      </w:pPr>
      <w:r>
        <w:rPr>
          <w:b/>
          <w:bCs/>
          <w:i w:val="false"/>
          <w:iCs w:val="false"/>
          <w:color w:val="1A1A1A"/>
          <w:sz w:val="33"/>
          <w:szCs w:val="33"/>
          <w:caps w:val="false"/>
          <w:rFonts w:ascii="Calibri" w:cs="Calibri" w:eastAsia="Calibri" w:hAnsi="Calibri"/>
        </w:rPr>
        <w:t xml:space="preserve">TN Academic Standard GC.11: </w:t>
      </w:r>
      <w:r>
        <w:rPr>
          <w:b w:val="false"/>
          <w:bCs w:val="false"/>
          <w:i w:val="false"/>
          <w:iCs w:val="false"/>
          <w:color w:val="1A1A1A"/>
          <w:sz w:val="33"/>
          <w:szCs w:val="33"/>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Redistricting</w:t>
            </w:r>
            <w:r>
              <w:rPr>
                <w:b w:val="false"/>
                <w:bCs w:val="false"/>
                <w:i w:val="false"/>
                <w:iCs w:val="false"/>
                <w:color w:val="D9D5C8"/>
                <w:sz w:val="27"/>
                <w:szCs w:val="27"/>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“Redistricting”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Gerrymandering</w:t>
            </w:r>
            <w:r>
              <w:rPr>
                <w:b w:val="false"/>
                <w:bCs w:val="false"/>
                <w:i w:val="false"/>
                <w:iCs w:val="false"/>
                <w:color w:val="D9D5C8"/>
                <w:sz w:val="27"/>
                <w:szCs w:val="27"/>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“Gerrymandering”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census</w:t>
            </w:r>
          </w:p>
          <w:p>
            <w:pPr>
              <w:spacing w:after="30"/>
              <w:ind w:left="360"/>
            </w:pPr>
            <w:r>
              <w:rPr>
                <w:b w:val="false"/>
                <w:bCs w:val="false"/>
                <w:i w:val="false"/>
                <w:iCs w:val="false"/>
                <w:color w:val="1A1A1A"/>
                <w:sz w:val="32"/>
                <w:szCs w:val="32"/>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32"/>
                <w:szCs w:val="32"/>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32"/>
                <w:szCs w:val="32"/>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 How can gerrymandering change an election's outcome without changing any votes?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30"/>
          <w:szCs w:val="3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30"/>
          <w:szCs w:val="3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Gerry-Mander · Elkanah Tisdale · 1812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u3-gc11-dok1-1 · pre-field-test]</w:t>
      </w:r>
    </w:p>
    <w:p>
      <w:pPr>
        <w:spacing w:after="100"/>
      </w:pPr>
      <w:r>
        <w:rPr>
          <w:b/>
          <w:bCs/>
          <w:i w:val="false"/>
          <w:iCs w:val="false"/>
          <w:color w:val="1A1A1A"/>
          <w:sz w:val="32"/>
          <w:szCs w:val="32"/>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30"/>
          <w:szCs w:val="30"/>
          <w:caps w:val="false"/>
          <w:rFonts w:ascii="Calibri" w:cs="Calibri" w:eastAsia="Calibri" w:hAnsi="Calibri"/>
        </w:rPr>
        <w:t xml:space="preserve">A. Every year</w:t>
      </w:r>
    </w:p>
    <w:p>
      <w:pPr>
        <w:spacing w:after="20"/>
        <w:ind w:left="260"/>
      </w:pPr>
      <w:r>
        <w:rPr>
          <w:b w:val="false"/>
          <w:bCs w:val="false"/>
          <w:i w:val="false"/>
          <w:iCs w:val="false"/>
          <w:color w:val="1A1A1A"/>
          <w:sz w:val="30"/>
          <w:szCs w:val="30"/>
          <w:caps w:val="false"/>
          <w:rFonts w:ascii="Calibri" w:cs="Calibri" w:eastAsia="Calibri" w:hAnsi="Calibri"/>
        </w:rPr>
        <w:t xml:space="preserve">B. Every four years</w:t>
      </w:r>
    </w:p>
    <w:p>
      <w:pPr>
        <w:spacing w:after="20"/>
        <w:ind w:left="260"/>
      </w:pPr>
      <w:r>
        <w:rPr>
          <w:b w:val="false"/>
          <w:bCs w:val="false"/>
          <w:i w:val="false"/>
          <w:iCs w:val="false"/>
          <w:color w:val="1A1A1A"/>
          <w:sz w:val="30"/>
          <w:szCs w:val="30"/>
          <w:caps w:val="false"/>
          <w:rFonts w:ascii="Calibri" w:cs="Calibri" w:eastAsia="Calibri" w:hAnsi="Calibri"/>
        </w:rPr>
        <w:t xml:space="preserve">C. Every ten years</w:t>
      </w:r>
    </w:p>
    <w:p>
      <w:pPr>
        <w:spacing w:after="20"/>
        <w:ind w:left="260"/>
      </w:pPr>
      <w:r>
        <w:rPr>
          <w:b w:val="false"/>
          <w:bCs w:val="false"/>
          <w:i w:val="false"/>
          <w:iCs w:val="false"/>
          <w:color w:val="1A1A1A"/>
          <w:sz w:val="30"/>
          <w:szCs w:val="30"/>
          <w:caps w:val="false"/>
          <w:rFonts w:ascii="Calibri" w:cs="Calibri" w:eastAsia="Calibri" w:hAnsi="Calibri"/>
        </w:rPr>
        <w:t xml:space="preserve">D. Only once</w:t>
      </w:r>
    </w:p>
    <w:p>
      <w:pPr>
        <w:spacing w:after="100"/>
      </w:pPr>
      <w:r>
        <w:rPr>
          <w:b/>
          <w:bCs/>
          <w:i w:val="false"/>
          <w:iCs w:val="false"/>
          <w:color w:val="6B7280"/>
          <w:sz w:val="27"/>
          <w:szCs w:val="27"/>
          <w:caps w:val="false"/>
          <w:rFonts w:ascii="Calibri" w:cs="Calibri" w:eastAsia="Calibri" w:hAnsi="Calibri"/>
        </w:rPr>
        <w:t xml:space="preserve">[DOK 3 · item u1-gc11-dok3-tc · pre-field-test]</w:t>
      </w:r>
    </w:p>
    <w:p>
      <w:pPr>
        <w:spacing w:after="100"/>
      </w:pPr>
      <w:r>
        <w:rPr>
          <w:b/>
          <w:bCs/>
          <w:i w:val="false"/>
          <w:iCs w:val="false"/>
          <w:color w:val="1A1A1A"/>
          <w:sz w:val="32"/>
          <w:szCs w:val="32"/>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census</w:t>
      </w:r>
    </w:p>
    <w:p>
      <w:pPr>
        <w:spacing w:after="20"/>
        <w:ind w:left="260"/>
      </w:pPr>
      <w:r>
        <w:rPr>
          <w:b w:val="false"/>
          <w:bCs w:val="false"/>
          <w:i w:val="false"/>
          <w:iCs w:val="false"/>
          <w:color w:val="1A1A1A"/>
          <w:sz w:val="30"/>
          <w:szCs w:val="3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30"/>
          <w:szCs w:val="3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30"/>
          <w:szCs w:val="3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GC.12 — Leadership of Congress</w:t>
      </w:r>
    </w:p>
    <w:p>
      <w:pPr>
        <w:spacing w:after="60"/>
      </w:pPr>
      <w:r>
        <w:rPr>
          <w:b/>
          <w:bCs/>
          <w:i w:val="false"/>
          <w:iCs w:val="false"/>
          <w:color w:val="1A1A1A"/>
          <w:sz w:val="33"/>
          <w:szCs w:val="33"/>
          <w:caps w:val="false"/>
          <w:rFonts w:ascii="Calibri" w:cs="Calibri" w:eastAsia="Calibri" w:hAnsi="Calibri"/>
        </w:rPr>
        <w:t xml:space="preserve">TN Academic Standard GC.12: </w:t>
      </w:r>
      <w:r>
        <w:rPr>
          <w:b w:val="false"/>
          <w:bCs w:val="false"/>
          <w:i w:val="false"/>
          <w:iCs w:val="false"/>
          <w:color w:val="1A1A1A"/>
          <w:sz w:val="33"/>
          <w:szCs w:val="33"/>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Speaker of the House</w:t>
            </w:r>
            <w:r>
              <w:rPr>
                <w:b w:val="false"/>
                <w:bCs w:val="false"/>
                <w:i w:val="false"/>
                <w:iCs w:val="false"/>
                <w:color w:val="D9D5C8"/>
                <w:sz w:val="27"/>
                <w:szCs w:val="27"/>
                <w:caps w:val="false"/>
                <w:rFonts w:ascii="Calibri" w:cs="Calibri" w:eastAsia="Calibri" w:hAnsi="Calibri"/>
              </w:rPr>
              <w:t xml:space="preserve">      ·   ES: presidente de la Cámara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“Speaker of the House”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President pro tempore</w:t>
            </w:r>
            <w:r>
              <w:rPr>
                <w:b w:val="false"/>
                <w:bCs w:val="false"/>
                <w:i w:val="false"/>
                <w:iCs w:val="false"/>
                <w:color w:val="D9D5C8"/>
                <w:sz w:val="27"/>
                <w:szCs w:val="27"/>
                <w:caps w:val="false"/>
                <w:rFonts w:ascii="Calibri" w:cs="Calibri" w:eastAsia="Calibri" w:hAnsi="Calibri"/>
              </w:rPr>
              <w:t xml:space="preserve">      ·   ES: presidente pro tempore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“President pro tempore”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32"/>
                <w:szCs w:val="32"/>
                <w:caps w:val="false"/>
                <w:rFonts w:ascii="Calibri" w:cs="Calibri" w:eastAsia="Calibri" w:hAnsi="Calibri"/>
              </w:rPr>
              <w:t xml:space="preserve">A.   The President pro tempore</w:t>
            </w:r>
          </w:p>
          <w:p>
            <w:pPr>
              <w:spacing w:after="30"/>
              <w:ind w:left="360"/>
            </w:pPr>
            <w:r>
              <w:rPr>
                <w:b w:val="false"/>
                <w:bCs w:val="false"/>
                <w:i w:val="false"/>
                <w:iCs w:val="false"/>
                <w:color w:val="1A1A1A"/>
                <w:sz w:val="32"/>
                <w:szCs w:val="32"/>
                <w:caps w:val="false"/>
                <w:rFonts w:ascii="Calibri" w:cs="Calibri" w:eastAsia="Calibri" w:hAnsi="Calibri"/>
              </w:rPr>
              <w:t xml:space="preserve">B.   The Speaker of the House</w:t>
            </w:r>
          </w:p>
          <w:p>
            <w:pPr>
              <w:spacing w:after="30"/>
              <w:ind w:left="360"/>
            </w:pPr>
            <w:r>
              <w:rPr>
                <w:b w:val="false"/>
                <w:bCs w:val="false"/>
                <w:i w:val="false"/>
                <w:iCs w:val="false"/>
                <w:color w:val="1A1A1A"/>
                <w:sz w:val="32"/>
                <w:szCs w:val="32"/>
                <w:caps w:val="false"/>
                <w:rFonts w:ascii="Calibri" w:cs="Calibri" w:eastAsia="Calibri" w:hAnsi="Calibri"/>
              </w:rPr>
              <w:t xml:space="preserve">C.   The Vice President</w:t>
            </w:r>
          </w:p>
          <w:p>
            <w:pPr>
              <w:spacing w:after="30"/>
              <w:ind w:left="360"/>
            </w:pPr>
            <w:r>
              <w:rPr>
                <w:b w:val="false"/>
                <w:bCs w:val="false"/>
                <w:i w:val="false"/>
                <w:iCs w:val="false"/>
                <w:color w:val="1A1A1A"/>
                <w:sz w:val="32"/>
                <w:szCs w:val="32"/>
                <w:caps w:val="false"/>
                <w:rFonts w:ascii="Calibri" w:cs="Calibri" w:eastAsia="Calibri" w:hAnsi="Calibri"/>
              </w:rPr>
              <w:t xml:space="preserve">D.   The Chief Justice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 How do majority and minority leaders shape what Congress accomplishes?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30"/>
          <w:szCs w:val="3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30"/>
          <w:szCs w:val="3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u3-gc12-dok1-1 · pre-field-test]</w:t>
      </w:r>
    </w:p>
    <w:p>
      <w:pPr>
        <w:spacing w:after="100"/>
      </w:pPr>
      <w:r>
        <w:rPr>
          <w:b/>
          <w:bCs/>
          <w:i w:val="false"/>
          <w:iCs w:val="false"/>
          <w:color w:val="1A1A1A"/>
          <w:sz w:val="32"/>
          <w:szCs w:val="32"/>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30"/>
          <w:szCs w:val="30"/>
          <w:caps w:val="false"/>
          <w:rFonts w:ascii="Calibri" w:cs="Calibri" w:eastAsia="Calibri" w:hAnsi="Calibri"/>
        </w:rPr>
        <w:t xml:space="preserve">A. Write all bills</w:t>
      </w:r>
    </w:p>
    <w:p>
      <w:pPr>
        <w:spacing w:after="20"/>
        <w:ind w:left="260"/>
      </w:pPr>
      <w:r>
        <w:rPr>
          <w:b w:val="false"/>
          <w:bCs w:val="false"/>
          <w:i w:val="false"/>
          <w:iCs w:val="false"/>
          <w:color w:val="1A1A1A"/>
          <w:sz w:val="30"/>
          <w:szCs w:val="30"/>
          <w:caps w:val="false"/>
          <w:rFonts w:ascii="Calibri" w:cs="Calibri" w:eastAsia="Calibri" w:hAnsi="Calibri"/>
        </w:rPr>
        <w:t xml:space="preserve">B. Break a tie vote</w:t>
      </w:r>
    </w:p>
    <w:p>
      <w:pPr>
        <w:spacing w:after="20"/>
        <w:ind w:left="260"/>
      </w:pPr>
      <w:r>
        <w:rPr>
          <w:b w:val="false"/>
          <w:bCs w:val="false"/>
          <w:i w:val="false"/>
          <w:iCs w:val="false"/>
          <w:color w:val="1A1A1A"/>
          <w:sz w:val="30"/>
          <w:szCs w:val="30"/>
          <w:caps w:val="false"/>
          <w:rFonts w:ascii="Calibri" w:cs="Calibri" w:eastAsia="Calibri" w:hAnsi="Calibri"/>
        </w:rPr>
        <w:t xml:space="preserve">C. Appoint senators</w:t>
      </w:r>
    </w:p>
    <w:p>
      <w:pPr>
        <w:spacing w:after="20"/>
        <w:ind w:left="260"/>
      </w:pPr>
      <w:r>
        <w:rPr>
          <w:b w:val="false"/>
          <w:bCs w:val="false"/>
          <w:i w:val="false"/>
          <w:iCs w:val="false"/>
          <w:color w:val="1A1A1A"/>
          <w:sz w:val="30"/>
          <w:szCs w:val="30"/>
          <w:caps w:val="false"/>
          <w:rFonts w:ascii="Calibri" w:cs="Calibri" w:eastAsia="Calibri" w:hAnsi="Calibri"/>
        </w:rPr>
        <w:t xml:space="preserve">D. Veto laws</w:t>
      </w:r>
    </w:p>
    <w:p>
      <w:pPr>
        <w:spacing w:after="100"/>
      </w:pPr>
      <w:r>
        <w:rPr>
          <w:b/>
          <w:bCs/>
          <w:i w:val="false"/>
          <w:iCs w:val="false"/>
          <w:color w:val="6B7280"/>
          <w:sz w:val="27"/>
          <w:szCs w:val="27"/>
          <w:caps w:val="false"/>
          <w:rFonts w:ascii="Calibri" w:cs="Calibri" w:eastAsia="Calibri" w:hAnsi="Calibri"/>
        </w:rPr>
        <w:t xml:space="preserve">[DOK 2 · item u1-gc12-dok2-tc · pre-field-test]</w:t>
      </w:r>
    </w:p>
    <w:p>
      <w:pPr>
        <w:spacing w:after="100"/>
      </w:pPr>
      <w:r>
        <w:rPr>
          <w:b/>
          <w:bCs/>
          <w:i w:val="false"/>
          <w:iCs w:val="false"/>
          <w:color w:val="1A1A1A"/>
          <w:sz w:val="32"/>
          <w:szCs w:val="32"/>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30"/>
          <w:szCs w:val="30"/>
          <w:caps w:val="false"/>
          <w:rFonts w:ascii="Calibri" w:cs="Calibri" w:eastAsia="Calibri" w:hAnsi="Calibri"/>
        </w:rPr>
        <w:t xml:space="preserve">A. The President pro tempore</w:t>
      </w:r>
    </w:p>
    <w:p>
      <w:pPr>
        <w:spacing w:after="20"/>
        <w:ind w:left="260"/>
      </w:pPr>
      <w:r>
        <w:rPr>
          <w:b w:val="false"/>
          <w:bCs w:val="false"/>
          <w:i w:val="false"/>
          <w:iCs w:val="false"/>
          <w:color w:val="1A1A1A"/>
          <w:sz w:val="30"/>
          <w:szCs w:val="30"/>
          <w:caps w:val="false"/>
          <w:rFonts w:ascii="Calibri" w:cs="Calibri" w:eastAsia="Calibri" w:hAnsi="Calibri"/>
        </w:rPr>
        <w:t xml:space="preserve">B. The Speaker of the House</w:t>
      </w:r>
    </w:p>
    <w:p>
      <w:pPr>
        <w:spacing w:after="20"/>
        <w:ind w:left="260"/>
      </w:pPr>
      <w:r>
        <w:rPr>
          <w:b w:val="false"/>
          <w:bCs w:val="false"/>
          <w:i w:val="false"/>
          <w:iCs w:val="false"/>
          <w:color w:val="1A1A1A"/>
          <w:sz w:val="30"/>
          <w:szCs w:val="30"/>
          <w:caps w:val="false"/>
          <w:rFonts w:ascii="Calibri" w:cs="Calibri" w:eastAsia="Calibri" w:hAnsi="Calibri"/>
        </w:rPr>
        <w:t xml:space="preserve">C. The Vice President</w:t>
      </w:r>
    </w:p>
    <w:p>
      <w:pPr>
        <w:spacing w:after="20"/>
        <w:ind w:left="260"/>
      </w:pPr>
      <w:r>
        <w:rPr>
          <w:b w:val="false"/>
          <w:bCs w:val="false"/>
          <w:i w:val="false"/>
          <w:iCs w:val="false"/>
          <w:color w:val="1A1A1A"/>
          <w:sz w:val="30"/>
          <w:szCs w:val="30"/>
          <w:caps w:val="false"/>
          <w:rFonts w:ascii="Calibri" w:cs="Calibri" w:eastAsia="Calibri" w:hAnsi="Calibri"/>
        </w:rPr>
        <w:t xml:space="preserve">D. The Chief Justice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GC.13 — How a Bill Becomes a Law</w:t>
      </w:r>
    </w:p>
    <w:p>
      <w:pPr>
        <w:spacing w:after="60"/>
      </w:pPr>
      <w:r>
        <w:rPr>
          <w:b/>
          <w:bCs/>
          <w:i w:val="false"/>
          <w:iCs w:val="false"/>
          <w:color w:val="1A1A1A"/>
          <w:sz w:val="33"/>
          <w:szCs w:val="33"/>
          <w:caps w:val="false"/>
          <w:rFonts w:ascii="Calibri" w:cs="Calibri" w:eastAsia="Calibri" w:hAnsi="Calibri"/>
        </w:rPr>
        <w:t xml:space="preserve">TN Academic Standard GC.13: </w:t>
      </w:r>
      <w:r>
        <w:rPr>
          <w:b w:val="false"/>
          <w:bCs w:val="false"/>
          <w:i w:val="false"/>
          <w:iCs w:val="false"/>
          <w:color w:val="1A1A1A"/>
          <w:sz w:val="33"/>
          <w:szCs w:val="33"/>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Filibuster</w:t>
            </w:r>
            <w:r>
              <w:rPr>
                <w:b w:val="false"/>
                <w:bCs w:val="false"/>
                <w:i w:val="false"/>
                <w:iCs w:val="false"/>
                <w:color w:val="D9D5C8"/>
                <w:sz w:val="27"/>
                <w:szCs w:val="27"/>
                <w:caps w:val="false"/>
                <w:rFonts w:ascii="Calibri" w:cs="Calibri" w:eastAsia="Calibri" w:hAnsi="Calibri"/>
              </w:rPr>
              <w:t xml:space="preserve">      ·   ES: obstruccionismo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“Filibuster”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Cloture</w:t>
            </w:r>
            <w:r>
              <w:rPr>
                <w:b w:val="false"/>
                <w:bCs w:val="false"/>
                <w:i w:val="false"/>
                <w:iCs w:val="false"/>
                <w:color w:val="D9D5C8"/>
                <w:sz w:val="27"/>
                <w:szCs w:val="27"/>
                <w:caps w:val="false"/>
                <w:rFonts w:ascii="Calibri" w:cs="Calibri" w:eastAsia="Calibri" w:hAnsi="Calibri"/>
              </w:rPr>
              <w:t xml:space="preserve">      ·   ES: clausura del debate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“Cloture”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32"/>
                <w:szCs w:val="32"/>
                <w:caps w:val="false"/>
                <w:rFonts w:ascii="Calibri" w:cs="Calibri" w:eastAsia="Calibri" w:hAnsi="Calibri"/>
              </w:rPr>
              <w:t xml:space="preserve">A.   Cloture</w:t>
            </w:r>
          </w:p>
          <w:p>
            <w:pPr>
              <w:spacing w:after="30"/>
              <w:ind w:left="360"/>
            </w:pPr>
            <w:r>
              <w:rPr>
                <w:b w:val="false"/>
                <w:bCs w:val="false"/>
                <w:i w:val="false"/>
                <w:iCs w:val="false"/>
                <w:color w:val="1A1A1A"/>
                <w:sz w:val="32"/>
                <w:szCs w:val="32"/>
                <w:caps w:val="false"/>
                <w:rFonts w:ascii="Calibri" w:cs="Calibri" w:eastAsia="Calibri" w:hAnsi="Calibri"/>
              </w:rPr>
              <w:t xml:space="preserve">B.   Veto</w:t>
            </w:r>
          </w:p>
          <w:p>
            <w:pPr>
              <w:spacing w:after="30"/>
              <w:ind w:left="360"/>
            </w:pPr>
            <w:r>
              <w:rPr>
                <w:b w:val="false"/>
                <w:bCs w:val="false"/>
                <w:i w:val="false"/>
                <w:iCs w:val="false"/>
                <w:color w:val="1A1A1A"/>
                <w:sz w:val="32"/>
                <w:szCs w:val="32"/>
                <w:caps w:val="false"/>
                <w:rFonts w:ascii="Calibri" w:cs="Calibri" w:eastAsia="Calibri" w:hAnsi="Calibri"/>
              </w:rPr>
              <w:t xml:space="preserve">C.   Filibuster</w:t>
            </w:r>
          </w:p>
          <w:p>
            <w:pPr>
              <w:spacing w:after="30"/>
              <w:ind w:left="360"/>
            </w:pPr>
            <w:r>
              <w:rPr>
                <w:b w:val="false"/>
                <w:bCs w:val="false"/>
                <w:i w:val="false"/>
                <w:iCs w:val="false"/>
                <w:color w:val="1A1A1A"/>
                <w:sz w:val="32"/>
                <w:szCs w:val="32"/>
                <w:caps w:val="false"/>
                <w:rFonts w:ascii="Calibri" w:cs="Calibri" w:eastAsia="Calibri" w:hAnsi="Calibri"/>
              </w:rPr>
              <w:t xml:space="preserve">D.   Quorum</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 What is a filibuster, and how can the Senate end one?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30"/>
          <w:szCs w:val="3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30"/>
          <w:szCs w:val="30"/>
          <w:caps w:val="false"/>
          <w:rFonts w:ascii="Calibri" w:cs="Calibri" w:eastAsia="Calibri" w:hAnsi="Calibri"/>
        </w:rPr>
        <w:t xml:space="preserve">3. What is a filibuster, and how can the Senate end one?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u3-gc13-dok1-1 · pre-field-test]</w:t>
      </w:r>
    </w:p>
    <w:p>
      <w:pPr>
        <w:spacing w:after="100"/>
      </w:pPr>
      <w:r>
        <w:rPr>
          <w:b/>
          <w:bCs/>
          <w:i w:val="false"/>
          <w:iCs w:val="false"/>
          <w:color w:val="1A1A1A"/>
          <w:sz w:val="32"/>
          <w:szCs w:val="32"/>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30"/>
          <w:szCs w:val="3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30"/>
          <w:szCs w:val="30"/>
          <w:caps w:val="false"/>
          <w:rFonts w:ascii="Calibri" w:cs="Calibri" w:eastAsia="Calibri" w:hAnsi="Calibri"/>
        </w:rPr>
        <w:t xml:space="preserve">B. Two-thirds of both houses</w:t>
      </w:r>
    </w:p>
    <w:p>
      <w:pPr>
        <w:spacing w:after="20"/>
        <w:ind w:left="260"/>
      </w:pPr>
      <w:r>
        <w:rPr>
          <w:b w:val="false"/>
          <w:bCs w:val="false"/>
          <w:i w:val="false"/>
          <w:iCs w:val="false"/>
          <w:color w:val="1A1A1A"/>
          <w:sz w:val="30"/>
          <w:szCs w:val="30"/>
          <w:caps w:val="false"/>
          <w:rFonts w:ascii="Calibri" w:cs="Calibri" w:eastAsia="Calibri" w:hAnsi="Calibri"/>
        </w:rPr>
        <w:t xml:space="preserve">C.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D. Three-fourths of the states</w:t>
      </w:r>
    </w:p>
    <w:p>
      <w:pPr>
        <w:spacing w:after="100"/>
      </w:pPr>
      <w:r>
        <w:rPr>
          <w:b/>
          <w:bCs/>
          <w:i w:val="false"/>
          <w:iCs w:val="false"/>
          <w:color w:val="6B7280"/>
          <w:sz w:val="27"/>
          <w:szCs w:val="27"/>
          <w:caps w:val="false"/>
          <w:rFonts w:ascii="Calibri" w:cs="Calibri" w:eastAsia="Calibri" w:hAnsi="Calibri"/>
        </w:rPr>
        <w:t xml:space="preserve">[DOK 2 · item u1-gc13-dok2-tc · pre-field-test]</w:t>
      </w:r>
    </w:p>
    <w:p>
      <w:pPr>
        <w:spacing w:after="100"/>
      </w:pPr>
      <w:r>
        <w:rPr>
          <w:b/>
          <w:bCs/>
          <w:i w:val="false"/>
          <w:iCs w:val="false"/>
          <w:color w:val="1A1A1A"/>
          <w:sz w:val="32"/>
          <w:szCs w:val="32"/>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30"/>
          <w:szCs w:val="30"/>
          <w:caps w:val="false"/>
          <w:rFonts w:ascii="Calibri" w:cs="Calibri" w:eastAsia="Calibri" w:hAnsi="Calibri"/>
        </w:rPr>
        <w:t xml:space="preserve">A. Cloture</w:t>
      </w:r>
    </w:p>
    <w:p>
      <w:pPr>
        <w:spacing w:after="20"/>
        <w:ind w:left="260"/>
      </w:pPr>
      <w:r>
        <w:rPr>
          <w:b w:val="false"/>
          <w:bCs w:val="false"/>
          <w:i w:val="false"/>
          <w:iCs w:val="false"/>
          <w:color w:val="1A1A1A"/>
          <w:sz w:val="30"/>
          <w:szCs w:val="30"/>
          <w:caps w:val="false"/>
          <w:rFonts w:ascii="Calibri" w:cs="Calibri" w:eastAsia="Calibri" w:hAnsi="Calibri"/>
        </w:rPr>
        <w:t xml:space="preserve">B. Veto</w:t>
      </w:r>
    </w:p>
    <w:p>
      <w:pPr>
        <w:spacing w:after="20"/>
        <w:ind w:left="260"/>
      </w:pPr>
      <w:r>
        <w:rPr>
          <w:b w:val="false"/>
          <w:bCs w:val="false"/>
          <w:i w:val="false"/>
          <w:iCs w:val="false"/>
          <w:color w:val="1A1A1A"/>
          <w:sz w:val="30"/>
          <w:szCs w:val="30"/>
          <w:caps w:val="false"/>
          <w:rFonts w:ascii="Calibri" w:cs="Calibri" w:eastAsia="Calibri" w:hAnsi="Calibri"/>
        </w:rPr>
        <w:t xml:space="preserve">C. Filibuster</w:t>
      </w:r>
    </w:p>
    <w:p>
      <w:pPr>
        <w:spacing w:after="20"/>
        <w:ind w:left="260"/>
      </w:pPr>
      <w:r>
        <w:rPr>
          <w:b w:val="false"/>
          <w:bCs w:val="false"/>
          <w:i w:val="false"/>
          <w:iCs w:val="false"/>
          <w:color w:val="1A1A1A"/>
          <w:sz w:val="30"/>
          <w:szCs w:val="30"/>
          <w:caps w:val="false"/>
          <w:rFonts w:ascii="Calibri" w:cs="Calibri" w:eastAsia="Calibri" w:hAnsi="Calibri"/>
        </w:rPr>
        <w:t xml:space="preserve">D. Quorum</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GC.14 — Tennessee's Delegation to Congress</w:t>
      </w:r>
    </w:p>
    <w:p>
      <w:pPr>
        <w:spacing w:after="60"/>
      </w:pPr>
      <w:r>
        <w:rPr>
          <w:b/>
          <w:bCs/>
          <w:i w:val="false"/>
          <w:iCs w:val="false"/>
          <w:color w:val="1A1A1A"/>
          <w:sz w:val="33"/>
          <w:szCs w:val="33"/>
          <w:caps w:val="false"/>
          <w:rFonts w:ascii="Calibri" w:cs="Calibri" w:eastAsia="Calibri" w:hAnsi="Calibri"/>
        </w:rPr>
        <w:t xml:space="preserve">TN Academic Standard GC.14: </w:t>
      </w:r>
      <w:r>
        <w:rPr>
          <w:b w:val="false"/>
          <w:bCs w:val="false"/>
          <w:i w:val="false"/>
          <w:iCs w:val="false"/>
          <w:color w:val="1A1A1A"/>
          <w:sz w:val="33"/>
          <w:szCs w:val="33"/>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Delegation</w:t>
            </w:r>
            <w:r>
              <w:rPr>
                <w:b w:val="false"/>
                <w:bCs w:val="false"/>
                <w:i w:val="false"/>
                <w:iCs w:val="false"/>
                <w:color w:val="D9D5C8"/>
                <w:sz w:val="27"/>
                <w:szCs w:val="27"/>
                <w:caps w:val="false"/>
                <w:rFonts w:ascii="Calibri" w:cs="Calibri" w:eastAsia="Calibri" w:hAnsi="Calibri"/>
              </w:rPr>
              <w:t xml:space="preserve">      ·   ES: delegación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“Delegation”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32"/>
                <w:szCs w:val="32"/>
                <w:caps w:val="false"/>
                <w:rFonts w:ascii="Calibri" w:cs="Calibri" w:eastAsia="Calibri" w:hAnsi="Calibri"/>
              </w:rPr>
              <w:t xml:space="preserve">A.   Two</w:t>
            </w:r>
          </w:p>
          <w:p>
            <w:pPr>
              <w:spacing w:after="30"/>
              <w:ind w:left="360"/>
            </w:pPr>
            <w:r>
              <w:rPr>
                <w:b w:val="false"/>
                <w:bCs w:val="false"/>
                <w:i w:val="false"/>
                <w:iCs w:val="false"/>
                <w:color w:val="1A1A1A"/>
                <w:sz w:val="32"/>
                <w:szCs w:val="32"/>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32"/>
                <w:szCs w:val="32"/>
                <w:caps w:val="false"/>
                <w:rFonts w:ascii="Calibri" w:cs="Calibri" w:eastAsia="Calibri" w:hAnsi="Calibri"/>
              </w:rPr>
              <w:t xml:space="preserve">C.   Based on its population</w:t>
            </w:r>
          </w:p>
          <w:p>
            <w:pPr>
              <w:spacing w:after="30"/>
              <w:ind w:left="360"/>
            </w:pPr>
            <w:r>
              <w:rPr>
                <w:b w:val="false"/>
                <w:bCs w:val="false"/>
                <w:i w:val="false"/>
                <w:iCs w:val="false"/>
                <w:color w:val="1A1A1A"/>
                <w:sz w:val="32"/>
                <w:szCs w:val="32"/>
                <w:caps w:val="false"/>
                <w:rFonts w:ascii="Calibri" w:cs="Calibri" w:eastAsia="Calibri" w:hAnsi="Calibri"/>
              </w:rPr>
              <w:t xml:space="preserve">D.   Ten</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 Why is knowing your own district the first step to contacting your representative?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30"/>
          <w:szCs w:val="3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30"/>
          <w:szCs w:val="3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u3-gc14-dok1-1 · pre-field-test]</w:t>
      </w:r>
    </w:p>
    <w:p>
      <w:pPr>
        <w:spacing w:after="100"/>
      </w:pPr>
      <w:r>
        <w:rPr>
          <w:b/>
          <w:bCs/>
          <w:i w:val="false"/>
          <w:iCs w:val="false"/>
          <w:color w:val="1A1A1A"/>
          <w:sz w:val="32"/>
          <w:szCs w:val="32"/>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30"/>
          <w:szCs w:val="30"/>
          <w:caps w:val="false"/>
          <w:rFonts w:ascii="Calibri" w:cs="Calibri" w:eastAsia="Calibri" w:hAnsi="Calibri"/>
        </w:rPr>
        <w:t xml:space="preserve">A. Constituent</w:t>
      </w:r>
    </w:p>
    <w:p>
      <w:pPr>
        <w:spacing w:after="20"/>
        <w:ind w:left="260"/>
      </w:pPr>
      <w:r>
        <w:rPr>
          <w:b w:val="false"/>
          <w:bCs w:val="false"/>
          <w:i w:val="false"/>
          <w:iCs w:val="false"/>
          <w:color w:val="1A1A1A"/>
          <w:sz w:val="30"/>
          <w:szCs w:val="30"/>
          <w:caps w:val="false"/>
          <w:rFonts w:ascii="Calibri" w:cs="Calibri" w:eastAsia="Calibri" w:hAnsi="Calibri"/>
        </w:rPr>
        <w:t xml:space="preserve">B. Delegate</w:t>
      </w:r>
    </w:p>
    <w:p>
      <w:pPr>
        <w:spacing w:after="20"/>
        <w:ind w:left="260"/>
      </w:pPr>
      <w:r>
        <w:rPr>
          <w:b w:val="false"/>
          <w:bCs w:val="false"/>
          <w:i w:val="false"/>
          <w:iCs w:val="false"/>
          <w:color w:val="1A1A1A"/>
          <w:sz w:val="30"/>
          <w:szCs w:val="30"/>
          <w:caps w:val="false"/>
          <w:rFonts w:ascii="Calibri" w:cs="Calibri" w:eastAsia="Calibri" w:hAnsi="Calibri"/>
        </w:rPr>
        <w:t xml:space="preserve">C. Lobbyist</w:t>
      </w:r>
    </w:p>
    <w:p>
      <w:pPr>
        <w:spacing w:after="20"/>
        <w:ind w:left="260"/>
      </w:pPr>
      <w:r>
        <w:rPr>
          <w:b w:val="false"/>
          <w:bCs w:val="false"/>
          <w:i w:val="false"/>
          <w:iCs w:val="false"/>
          <w:color w:val="1A1A1A"/>
          <w:sz w:val="30"/>
          <w:szCs w:val="30"/>
          <w:caps w:val="false"/>
          <w:rFonts w:ascii="Calibri" w:cs="Calibri" w:eastAsia="Calibri" w:hAnsi="Calibri"/>
        </w:rPr>
        <w:t xml:space="preserve">D. Justice</w:t>
      </w:r>
    </w:p>
    <w:p>
      <w:pPr>
        <w:spacing w:after="100"/>
      </w:pPr>
      <w:r>
        <w:rPr>
          <w:b/>
          <w:bCs/>
          <w:i w:val="false"/>
          <w:iCs w:val="false"/>
          <w:color w:val="6B7280"/>
          <w:sz w:val="27"/>
          <w:szCs w:val="27"/>
          <w:caps w:val="false"/>
          <w:rFonts w:ascii="Calibri" w:cs="Calibri" w:eastAsia="Calibri" w:hAnsi="Calibri"/>
        </w:rPr>
        <w:t xml:space="preserve">[DOK 2 · item u1-gc14-dok2-tc · pre-field-test]</w:t>
      </w:r>
    </w:p>
    <w:p>
      <w:pPr>
        <w:spacing w:after="100"/>
      </w:pPr>
      <w:r>
        <w:rPr>
          <w:b/>
          <w:bCs/>
          <w:i w:val="false"/>
          <w:iCs w:val="false"/>
          <w:color w:val="1A1A1A"/>
          <w:sz w:val="32"/>
          <w:szCs w:val="32"/>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30"/>
          <w:szCs w:val="30"/>
          <w:caps w:val="false"/>
          <w:rFonts w:ascii="Calibri" w:cs="Calibri" w:eastAsia="Calibri" w:hAnsi="Calibri"/>
        </w:rPr>
        <w:t xml:space="preserve">A. Two</w:t>
      </w:r>
    </w:p>
    <w:p>
      <w:pPr>
        <w:spacing w:after="20"/>
        <w:ind w:left="260"/>
      </w:pPr>
      <w:r>
        <w:rPr>
          <w:b w:val="false"/>
          <w:bCs w:val="false"/>
          <w:i w:val="false"/>
          <w:iCs w:val="false"/>
          <w:color w:val="1A1A1A"/>
          <w:sz w:val="30"/>
          <w:szCs w:val="3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30"/>
          <w:szCs w:val="30"/>
          <w:caps w:val="false"/>
          <w:rFonts w:ascii="Calibri" w:cs="Calibri" w:eastAsia="Calibri" w:hAnsi="Calibri"/>
        </w:rPr>
        <w:t xml:space="preserve">C. Based on its population</w:t>
      </w:r>
    </w:p>
    <w:p>
      <w:pPr>
        <w:spacing w:after="20"/>
        <w:ind w:left="260"/>
      </w:pPr>
      <w:r>
        <w:rPr>
          <w:b w:val="false"/>
          <w:bCs w:val="false"/>
          <w:i w:val="false"/>
          <w:iCs w:val="false"/>
          <w:color w:val="1A1A1A"/>
          <w:sz w:val="30"/>
          <w:szCs w:val="30"/>
          <w:caps w:val="false"/>
          <w:rFonts w:ascii="Calibri" w:cs="Calibri" w:eastAsia="Calibri" w:hAnsi="Calibri"/>
        </w:rPr>
        <w:t xml:space="preserve">D. Ten</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GC.15 — The Powers of Congress</w:t>
      </w:r>
    </w:p>
    <w:p>
      <w:pPr>
        <w:spacing w:after="60"/>
      </w:pPr>
      <w:r>
        <w:rPr>
          <w:b/>
          <w:bCs/>
          <w:i w:val="false"/>
          <w:iCs w:val="false"/>
          <w:color w:val="1A1A1A"/>
          <w:sz w:val="33"/>
          <w:szCs w:val="33"/>
          <w:caps w:val="false"/>
          <w:rFonts w:ascii="Calibri" w:cs="Calibri" w:eastAsia="Calibri" w:hAnsi="Calibri"/>
        </w:rPr>
        <w:t xml:space="preserve">TN Academic Standard GC.15: </w:t>
      </w:r>
      <w:r>
        <w:rPr>
          <w:b w:val="false"/>
          <w:bCs w:val="false"/>
          <w:i w:val="false"/>
          <w:iCs w:val="false"/>
          <w:color w:val="1A1A1A"/>
          <w:sz w:val="33"/>
          <w:szCs w:val="33"/>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GC.15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GC.15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Enumerated Powers</w:t>
            </w:r>
            <w:r>
              <w:rPr>
                <w:b w:val="false"/>
                <w:bCs w:val="false"/>
                <w:i w:val="false"/>
                <w:iCs w:val="false"/>
                <w:color w:val="D9D5C8"/>
                <w:sz w:val="27"/>
                <w:szCs w:val="27"/>
                <w:caps w:val="false"/>
                <w:rFonts w:ascii="Calibri" w:cs="Calibri" w:eastAsia="Calibri" w:hAnsi="Calibri"/>
              </w:rPr>
              <w:t xml:space="preserve">      ·   ES: poderes enumerados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“Enumerated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Implied Powers</w:t>
            </w:r>
            <w:r>
              <w:rPr>
                <w:b w:val="false"/>
                <w:bCs w:val="false"/>
                <w:i w:val="false"/>
                <w:iCs w:val="false"/>
                <w:color w:val="D9D5C8"/>
                <w:sz w:val="27"/>
                <w:szCs w:val="27"/>
                <w:caps w:val="false"/>
                <w:rFonts w:ascii="Calibri" w:cs="Calibri" w:eastAsia="Calibri" w:hAnsi="Calibri"/>
              </w:rPr>
              <w:t xml:space="preserve">      ·   ES: poderes implícitos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“Implied Powers” to explain this standard.</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GC.15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32"/>
                <w:szCs w:val="32"/>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32"/>
                <w:szCs w:val="32"/>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32"/>
                <w:szCs w:val="32"/>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GC.15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GC.15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 How did Marshall's opinion in McCulloch v. Maryland expand what Congress can do?</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30"/>
          <w:szCs w:val="3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30"/>
          <w:szCs w:val="3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GC.15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GC.15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u3-gc15-dok1-1 · pre-field-test]</w:t>
      </w:r>
    </w:p>
    <w:p>
      <w:pPr>
        <w:spacing w:after="100"/>
      </w:pPr>
      <w:r>
        <w:rPr>
          <w:b/>
          <w:bCs/>
          <w:i w:val="false"/>
          <w:iCs w:val="false"/>
          <w:color w:val="1A1A1A"/>
          <w:sz w:val="32"/>
          <w:szCs w:val="32"/>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30"/>
          <w:szCs w:val="30"/>
          <w:caps w:val="false"/>
          <w:rFonts w:ascii="Calibri" w:cs="Calibri" w:eastAsia="Calibri" w:hAnsi="Calibri"/>
        </w:rPr>
        <w:t xml:space="preserve">A. Supremacy Clause</w:t>
      </w:r>
    </w:p>
    <w:p>
      <w:pPr>
        <w:spacing w:after="20"/>
        <w:ind w:left="260"/>
      </w:pPr>
      <w:r>
        <w:rPr>
          <w:b w:val="false"/>
          <w:bCs w:val="false"/>
          <w:i w:val="false"/>
          <w:iCs w:val="false"/>
          <w:color w:val="1A1A1A"/>
          <w:sz w:val="30"/>
          <w:szCs w:val="30"/>
          <w:caps w:val="false"/>
          <w:rFonts w:ascii="Calibri" w:cs="Calibri" w:eastAsia="Calibri" w:hAnsi="Calibri"/>
        </w:rPr>
        <w:t xml:space="preserve">B. Commerce Clause</w:t>
      </w:r>
    </w:p>
    <w:p>
      <w:pPr>
        <w:spacing w:after="20"/>
        <w:ind w:left="260"/>
      </w:pPr>
      <w:r>
        <w:rPr>
          <w:b w:val="false"/>
          <w:bCs w:val="false"/>
          <w:i w:val="false"/>
          <w:iCs w:val="false"/>
          <w:color w:val="1A1A1A"/>
          <w:sz w:val="30"/>
          <w:szCs w:val="30"/>
          <w:caps w:val="false"/>
          <w:rFonts w:ascii="Calibri" w:cs="Calibri" w:eastAsia="Calibri" w:hAnsi="Calibri"/>
        </w:rPr>
        <w:t xml:space="preserve">C.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D. Due Process Clause</w:t>
      </w:r>
    </w:p>
    <w:p>
      <w:pPr>
        <w:spacing w:after="100"/>
      </w:pPr>
      <w:r>
        <w:rPr>
          <w:b/>
          <w:bCs/>
          <w:i w:val="false"/>
          <w:iCs w:val="false"/>
          <w:color w:val="6B7280"/>
          <w:sz w:val="27"/>
          <w:szCs w:val="27"/>
          <w:caps w:val="false"/>
          <w:rFonts w:ascii="Calibri" w:cs="Calibri" w:eastAsia="Calibri" w:hAnsi="Calibri"/>
        </w:rPr>
        <w:t xml:space="preserve">[DOK 3 · item u1-gc15-dok3-tc · pre-field-test]</w:t>
      </w:r>
    </w:p>
    <w:p>
      <w:pPr>
        <w:spacing w:after="100"/>
      </w:pPr>
      <w:r>
        <w:rPr>
          <w:b/>
          <w:bCs/>
          <w:i w:val="false"/>
          <w:iCs w:val="false"/>
          <w:color w:val="1A1A1A"/>
          <w:sz w:val="32"/>
          <w:szCs w:val="32"/>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30"/>
          <w:szCs w:val="3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30"/>
          <w:szCs w:val="3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30"/>
          <w:szCs w:val="3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GC.15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GC.35: </w:t>
      </w:r>
      <w:r>
        <w:rPr>
          <w:b w:val="false"/>
          <w:bCs w:val="false"/>
          <w:i w:val="false"/>
          <w:iCs w:val="false"/>
          <w:color w:val="1A1A1A"/>
          <w:sz w:val="32"/>
          <w:szCs w:val="32"/>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32"/>
          <w:szCs w:val="32"/>
          <w:caps w:val="false"/>
          <w:rFonts w:ascii="Calibri" w:cs="Calibri" w:eastAsia="Calibri" w:hAnsi="Calibri"/>
        </w:rPr>
        <w:t xml:space="preserve">GC.10: </w:t>
      </w:r>
      <w:r>
        <w:rPr>
          <w:b w:val="false"/>
          <w:bCs w:val="false"/>
          <w:i w:val="false"/>
          <w:iCs w:val="false"/>
          <w:color w:val="1A1A1A"/>
          <w:sz w:val="32"/>
          <w:szCs w:val="32"/>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32"/>
          <w:szCs w:val="32"/>
          <w:caps w:val="false"/>
          <w:rFonts w:ascii="Calibri" w:cs="Calibri" w:eastAsia="Calibri" w:hAnsi="Calibri"/>
        </w:rPr>
        <w:t xml:space="preserve">GC.11: </w:t>
      </w:r>
      <w:r>
        <w:rPr>
          <w:b w:val="false"/>
          <w:bCs w:val="false"/>
          <w:i w:val="false"/>
          <w:iCs w:val="false"/>
          <w:color w:val="1A1A1A"/>
          <w:sz w:val="32"/>
          <w:szCs w:val="32"/>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32"/>
          <w:szCs w:val="32"/>
          <w:caps w:val="false"/>
          <w:rFonts w:ascii="Calibri" w:cs="Calibri" w:eastAsia="Calibri" w:hAnsi="Calibri"/>
        </w:rPr>
        <w:t xml:space="preserve">GC.12: </w:t>
      </w:r>
      <w:r>
        <w:rPr>
          <w:b w:val="false"/>
          <w:bCs w:val="false"/>
          <w:i w:val="false"/>
          <w:iCs w:val="false"/>
          <w:color w:val="1A1A1A"/>
          <w:sz w:val="32"/>
          <w:szCs w:val="32"/>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32"/>
          <w:szCs w:val="32"/>
          <w:caps w:val="false"/>
          <w:rFonts w:ascii="Calibri" w:cs="Calibri" w:eastAsia="Calibri" w:hAnsi="Calibri"/>
        </w:rPr>
        <w:t xml:space="preserve">GC.13: </w:t>
      </w:r>
      <w:r>
        <w:rPr>
          <w:b w:val="false"/>
          <w:bCs w:val="false"/>
          <w:i w:val="false"/>
          <w:iCs w:val="false"/>
          <w:color w:val="1A1A1A"/>
          <w:sz w:val="32"/>
          <w:szCs w:val="32"/>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32"/>
          <w:szCs w:val="32"/>
          <w:caps w:val="false"/>
          <w:rFonts w:ascii="Calibri" w:cs="Calibri" w:eastAsia="Calibri" w:hAnsi="Calibri"/>
        </w:rPr>
        <w:t xml:space="preserve">GC.14: </w:t>
      </w:r>
      <w:r>
        <w:rPr>
          <w:b w:val="false"/>
          <w:bCs w:val="false"/>
          <w:i w:val="false"/>
          <w:iCs w:val="false"/>
          <w:color w:val="1A1A1A"/>
          <w:sz w:val="32"/>
          <w:szCs w:val="32"/>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32"/>
          <w:szCs w:val="32"/>
          <w:caps w:val="false"/>
          <w:rFonts w:ascii="Calibri" w:cs="Calibri" w:eastAsia="Calibri" w:hAnsi="Calibri"/>
        </w:rPr>
        <w:t xml:space="preserve">GC.15: </w:t>
      </w:r>
      <w:r>
        <w:rPr>
          <w:b w:val="false"/>
          <w:bCs w:val="false"/>
          <w:i w:val="false"/>
          <w:iCs w:val="false"/>
          <w:color w:val="1A1A1A"/>
          <w:sz w:val="32"/>
          <w:szCs w:val="32"/>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GC.35 — Citizenship &amp; Naturalization</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GC.10 — Article I &amp; the 17th Amendment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GC.11 — Census, Redistricting &amp; Baker v. Carr</w:t>
      </w:r>
    </w:p>
    <w:p>
      <w:pPr>
        <w:spacing w:after="100"/>
      </w:pPr>
      <w:r>
        <w:rPr>
          <w:b/>
          <w:bCs/>
          <w:i w:val="false"/>
          <w:iCs w:val="false"/>
          <w:color w:val="1A1A1A"/>
          <w:sz w:val="29"/>
          <w:szCs w:val="29"/>
          <w:caps w:val="false"/>
          <w:rFonts w:ascii="Calibri" w:cs="Calibri" w:eastAsia="Calibri" w:hAnsi="Calibri"/>
        </w:rPr>
        <w:t xml:space="preserve">Baker v. Carr, 369 U.S. 186. </w:t>
      </w:r>
      <w:r>
        <w:rPr>
          <w:b w:val="false"/>
          <w:bCs w:val="false"/>
          <w:i w:val="false"/>
          <w:iCs w:val="false"/>
          <w:color w:val="1A1A1A"/>
          <w:sz w:val="29"/>
          <w:szCs w:val="29"/>
          <w:caps w:val="false"/>
          <w:rFonts w:ascii="Calibri" w:cs="Calibri" w:eastAsia="Calibri" w:hAnsi="Calibri"/>
        </w:rPr>
        <w:t xml:space="preserve">U.S. Supreme Court, 1962.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https://supreme.justia.com/cases/federal/us/369/186/</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GC.12 — Leadership of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3.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GC.13 — How a Bill Becomes a Law</w:t>
      </w:r>
    </w:p>
    <w:p>
      <w:pPr>
        <w:spacing w:after="100"/>
      </w:pPr>
      <w:r>
        <w:rPr>
          <w:b/>
          <w:bCs/>
          <w:i w:val="false"/>
          <w:iCs w:val="false"/>
          <w:color w:val="1A1A1A"/>
          <w:sz w:val="29"/>
          <w:szCs w:val="29"/>
          <w:caps w:val="false"/>
          <w:rFonts w:ascii="Calibri" w:cs="Calibri" w:eastAsia="Calibri" w:hAnsi="Calibri"/>
        </w:rPr>
        <w:t xml:space="preserve">U.S. Constitution, Article I, Section 7.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Article I, Section 7 (override).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B2A4A"/>
          <w:sz w:val="32"/>
          <w:szCs w:val="32"/>
          <w:caps w:val="false"/>
          <w:rFonts w:ascii="Calibri" w:cs="Calibri" w:eastAsia="Calibri" w:hAnsi="Calibri"/>
        </w:rPr>
        <w:t xml:space="preserve">GC.14 — Tennessee's Delegation to Congress</w:t>
      </w:r>
    </w:p>
    <w:p>
      <w:pPr>
        <w:spacing w:after="100"/>
      </w:pPr>
      <w:r>
        <w:rPr>
          <w:b/>
          <w:bCs/>
          <w:i w:val="false"/>
          <w:iCs w:val="false"/>
          <w:color w:val="1A1A1A"/>
          <w:sz w:val="29"/>
          <w:szCs w:val="29"/>
          <w:caps w:val="false"/>
          <w:rFonts w:ascii="Calibri" w:cs="Calibri" w:eastAsia="Calibri" w:hAnsi="Calibri"/>
        </w:rPr>
        <w:t xml:space="preserve">U.S. Constitution, Article I, Section 2.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U.S. Constitution, Amendment XVII. </w:t>
      </w:r>
      <w:r>
        <w:rPr>
          <w:b w:val="false"/>
          <w:bCs w:val="false"/>
          <w:i w:val="false"/>
          <w:iCs w:val="false"/>
          <w:color w:val="1A1A1A"/>
          <w:sz w:val="29"/>
          <w:szCs w:val="29"/>
          <w:caps w:val="false"/>
          <w:rFonts w:ascii="Calibri" w:cs="Calibri" w:eastAsia="Calibri" w:hAnsi="Calibri"/>
        </w:rPr>
        <w:t xml:space="preserve">62nd U.S. Congress, 1913.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B2A4A"/>
          <w:sz w:val="32"/>
          <w:szCs w:val="32"/>
          <w:caps w:val="false"/>
          <w:rFonts w:ascii="Calibri" w:cs="Calibri" w:eastAsia="Calibri" w:hAnsi="Calibri"/>
        </w:rPr>
        <w:t xml:space="preserve">GC.15 — The Powers of Congress</w:t>
      </w:r>
    </w:p>
    <w:p>
      <w:pPr>
        <w:spacing w:after="100"/>
      </w:pPr>
      <w:r>
        <w:rPr>
          <w:b/>
          <w:bCs/>
          <w:i w:val="false"/>
          <w:iCs w:val="false"/>
          <w:color w:val="1A1A1A"/>
          <w:sz w:val="29"/>
          <w:szCs w:val="29"/>
          <w:caps w:val="false"/>
          <w:rFonts w:ascii="Calibri" w:cs="Calibri" w:eastAsia="Calibri" w:hAnsi="Calibri"/>
        </w:rPr>
        <w:t xml:space="preserve">U.S. Constitution, Article I, Section 8. </w:t>
      </w:r>
      <w:r>
        <w:rPr>
          <w:b w:val="false"/>
          <w:bCs w:val="false"/>
          <w:i w:val="false"/>
          <w:iCs w:val="false"/>
          <w:color w:val="1A1A1A"/>
          <w:sz w:val="29"/>
          <w:szCs w:val="29"/>
          <w:caps w:val="false"/>
          <w:rFonts w:ascii="Calibri" w:cs="Calibri" w:eastAsia="Calibri" w:hAnsi="Calibri"/>
        </w:rPr>
        <w:t xml:space="preserve">Constitutional Convention, 1787.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https://www.archives.gov/founding-docs/constitution-transcript</w:t>
      </w:r>
    </w:p>
    <w:p>
      <w:pPr>
        <w:spacing w:after="100"/>
      </w:pPr>
      <w:r>
        <w:rPr>
          <w:b/>
          <w:bCs/>
          <w:i w:val="false"/>
          <w:iCs w:val="false"/>
          <w:color w:val="1A1A1A"/>
          <w:sz w:val="29"/>
          <w:szCs w:val="29"/>
          <w:caps w:val="false"/>
          <w:rFonts w:ascii="Calibri" w:cs="Calibri" w:eastAsia="Calibri" w:hAnsi="Calibri"/>
        </w:rPr>
        <w:t xml:space="preserve">McCulloch v. Maryland, 17 U.S. 316. </w:t>
      </w:r>
      <w:r>
        <w:rPr>
          <w:b w:val="false"/>
          <w:bCs w:val="false"/>
          <w:i w:val="false"/>
          <w:iCs w:val="false"/>
          <w:color w:val="1A1A1A"/>
          <w:sz w:val="29"/>
          <w:szCs w:val="29"/>
          <w:caps w:val="false"/>
          <w:rFonts w:ascii="Calibri" w:cs="Calibri" w:eastAsia="Calibri" w:hAnsi="Calibri"/>
        </w:rPr>
        <w:t xml:space="preserve">Chief Justice John Marshall, 1819.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54"/>
          <w:szCs w:val="54"/>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33"/>
          <w:szCs w:val="33"/>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Large vs. Small States</w:t>
      </w:r>
    </w:p>
    <w:p>
      <w:pPr>
        <w:spacing w:after="100"/>
      </w:pPr>
      <w:r>
        <w:rPr>
          <w:b w:val="false"/>
          <w:bCs w:val="false"/>
          <w:i w:val="false"/>
          <w:iCs w:val="false"/>
          <w:color w:val="1A1A1A"/>
          <w:sz w:val="32"/>
          <w:szCs w:val="32"/>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42"/>
          <w:szCs w:val="42"/>
          <w:caps w:val="false"/>
          <w:rFonts w:ascii="Calibri" w:cs="Calibri" w:eastAsia="Calibri" w:hAnsi="Calibri"/>
        </w:rPr>
        <w:t xml:space="preserve">Urban vs. Rural Voters</w:t>
      </w:r>
    </w:p>
    <w:p>
      <w:pPr>
        <w:spacing w:after="100"/>
      </w:pPr>
      <w:r>
        <w:rPr>
          <w:b w:val="false"/>
          <w:bCs w:val="false"/>
          <w:i w:val="false"/>
          <w:iCs w:val="false"/>
          <w:color w:val="1A1A1A"/>
          <w:sz w:val="32"/>
          <w:szCs w:val="32"/>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Majority vs. Minority Power</w:t>
      </w:r>
    </w:p>
    <w:p>
      <w:pPr>
        <w:spacing w:after="100"/>
      </w:pPr>
      <w:r>
        <w:rPr>
          <w:b w:val="false"/>
          <w:bCs w:val="false"/>
          <w:i w:val="false"/>
          <w:iCs w:val="false"/>
          <w:color w:val="1A1A1A"/>
          <w:sz w:val="32"/>
          <w:szCs w:val="32"/>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42"/>
          <w:szCs w:val="42"/>
          <w:caps w:val="false"/>
          <w:rFonts w:ascii="Calibri" w:cs="Calibri" w:eastAsia="Calibri" w:hAnsi="Calibri"/>
        </w:rPr>
        <w:t xml:space="preserve">Who Draws the Lines</w:t>
      </w:r>
    </w:p>
    <w:p>
      <w:pPr>
        <w:spacing w:after="100"/>
      </w:pPr>
      <w:r>
        <w:rPr>
          <w:b w:val="false"/>
          <w:bCs w:val="false"/>
          <w:i w:val="false"/>
          <w:iCs w:val="false"/>
          <w:color w:val="1A1A1A"/>
          <w:sz w:val="32"/>
          <w:szCs w:val="32"/>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450" w:lineRule="exact"/>
            </w:pPr>
            <w:r>
              <w:rPr>
                <w:sz w:val="18"/>
                <w:szCs w:val="18"/>
                <w:rFonts w:ascii="Calibri" w:cs="Calibri" w:eastAsia="Calibri" w:hAnsi="Calibri"/>
              </w:rPr>
              <w:t xml:space="preserve"> </w:t>
            </w:r>
          </w:p>
          <w:p>
            <w:pPr>
              <w:spacing w:before="0" w:after="0" w:line="135" w:lineRule="exact"/>
            </w:pPr>
            <w:r>
              <w:rPr>
                <w:sz w:val="3"/>
                <w:szCs w:val="3"/>
                <w:rFonts w:ascii="Calibri" w:cs="Calibri" w:eastAsia="Calibri" w:hAnsi="Calibri"/>
              </w:rPr>
              <w:t xml:space="preserve"> </w:t>
            </w:r>
          </w:p>
          <w:p>
            <w:pPr>
              <w:widowControl w:val="false"/>
              <w:pBdr>
                <w:bottom w:val="single" w:color="9AA0A6" w:sz="6" w:space="2"/>
              </w:pBdr>
              <w:spacing w:before="0" w:after="0" w:line="450" w:lineRule="exact"/>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g7-al-ghzmb8eh1fhdy3s.png"/><Relationship Id="rId9" Type="http://schemas.openxmlformats.org/officeDocument/2006/relationships/image" Target="media/fnda3e1syxyrpn_0szg6-.png"/><Relationship Id="rId10" Type="http://schemas.openxmlformats.org/officeDocument/2006/relationships/image" Target="media/fc86ftk_df9lliiubdq7r.png"/><Relationship Id="rId11" Type="http://schemas.openxmlformats.org/officeDocument/2006/relationships/image" Target="media/clgyfoiip7niqkqhjpc5t.png"/><Relationship Id="rId12" Type="http://schemas.openxmlformats.org/officeDocument/2006/relationships/image" Target="media/32pn7xwnxba7tyruxyf5g.png"/><Relationship Id="rId13" Type="http://schemas.openxmlformats.org/officeDocument/2006/relationships/image" Target="media/14qrgxqzdvs1ojlnkt6pm.png"/><Relationship Id="rId14" Type="http://schemas.openxmlformats.org/officeDocument/2006/relationships/image" Target="media/vjlvn0eiyctsyd4udc8du.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2026-07-30T21:04:27.839Z</dcterms:created>
  <dcterms:modified xsi:type="dcterms:W3CDTF">2026-07-30T21:04:27.839Z</dcterms:modified>
</cp:coreProperties>
</file>

<file path=docProps/custom.xml><?xml version="1.0" encoding="utf-8"?>
<Properties xmlns="http://schemas.openxmlformats.org/officeDocument/2006/custom-properties" xmlns:vt="http://schemas.openxmlformats.org/officeDocument/2006/docPropsVTypes"/>
</file>