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before="220"/>
      </w:pPr>
      <w:r>
        <w:rPr>
          <w:rFonts w:ascii="Calibri" w:cs="Calibri" w:eastAsia="Calibri" w:hAnsi="Calibri"/>
          <w:b/>
          <w:bCs/>
          <w:i w:val="false"/>
          <w:iCs w:val="false"/>
          <w:color w:val="1B2A4A"/>
          <w:sz w:val="36"/>
          <w:szCs w:val="36"/>
        </w:rPr>
        <w:t xml:space="preserve">Unit 6 — Teacher How-to-Use &amp; MTSS Guide</w:t>
      </w:r>
    </w:p>
    <w:p>
      <w:pPr>
        <w:spacing w:after="100"/>
      </w:pPr>
      <w:r>
        <w:rPr>
          <w:rFonts w:ascii="Calibri" w:cs="Calibri" w:eastAsia="Calibri" w:hAnsi="Calibri"/>
          <w:b/>
          <w:bCs/>
          <w:i w:val="false"/>
          <w:iCs w:val="false"/>
          <w:color w:val="1B2A4A"/>
          <w:sz w:val="22"/>
          <w:szCs w:val="22"/>
        </w:rPr>
        <w:t xml:space="preserve">World War II (1939–1945) · Course Standard · US.45–US.58 · Grades 9–12</w:t>
      </w:r>
    </w:p>
    <w:p>
      <w:pPr>
        <w:spacing w:after="100"/>
      </w:pPr>
      <w:r>
        <w:rPr>
          <w:rFonts w:ascii="Calibri" w:cs="Calibri" w:eastAsia="Calibri" w:hAnsi="Calibri"/>
          <w:b w:val="false"/>
          <w:bCs w:val="false"/>
          <w:i/>
          <w:iCs/>
          <w:color w:val="6B7280"/>
          <w:sz w:val="20"/>
          <w:szCs w:val="20"/>
        </w:rPr>
        <w:t xml:space="preserve">Release-Ready · Pilot Edition. This guide holds the answer key for teacher use only — keep it separate from student materials.</w:t>
      </w:r>
    </w:p>
    <w:p>
      <w:pPr>
        <w:pStyle w:val="Heading1"/>
        <w:keepNext/>
        <w:spacing w:after="90" w:before="220"/>
      </w:pPr>
      <w:r>
        <w:rPr>
          <w:rFonts w:ascii="Calibri" w:cs="Calibri" w:eastAsia="Calibri" w:hAnsi="Calibri"/>
          <w:b/>
          <w:bCs/>
          <w:i w:val="false"/>
          <w:iCs w:val="false"/>
          <w:color w:val="1B2A4A"/>
          <w:sz w:val="36"/>
          <w:szCs w:val="36"/>
        </w:rPr>
        <w:t xml:space="preserve">1. Firm Goals, Flexible Means</w:t>
      </w:r>
    </w:p>
    <w:p>
      <w:pPr>
        <w:spacing w:after="100"/>
      </w:pPr>
      <w:r>
        <w:rPr>
          <w:rFonts w:ascii="Calibri" w:cs="Calibri" w:eastAsia="Calibri" w:hAnsi="Calibri"/>
          <w:b w:val="false"/>
          <w:bCs w:val="false"/>
          <w:i w:val="false"/>
          <w:iC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p>
      <w:pPr>
        <w:pStyle w:val="Heading2"/>
        <w:keepNext/>
        <w:spacing w:after="90" w:before="150"/>
      </w:pPr>
      <w:r>
        <w:rPr>
          <w:rFonts w:ascii="Calibri" w:cs="Calibri" w:eastAsia="Calibri" w:hAnsi="Calibri"/>
          <w:b/>
          <w:bCs/>
          <w:i w:val="false"/>
          <w:iCs w:val="false"/>
          <w:color w:val="1B2A4A"/>
          <w:sz w:val="28"/>
          <w:szCs w:val="28"/>
        </w:rPr>
        <w:t xml:space="preserve">The same six labels students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Vocabulary, pronunciation, and Spanish cognates.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say/record, or diagram.</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Quick DOK-2/3 check to guide reteach or extend.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Deeper challenge once the goal is met.</w:t>
            </w:r>
          </w:p>
        </w:tc>
      </w:tr>
    </w:tbl>
    <w:p>
      <w:pPr>
        <w:pStyle w:val="Heading1"/>
        <w:keepNext/>
        <w:spacing w:after="90" w:before="220"/>
      </w:pPr>
      <w:r>
        <w:rPr>
          <w:rFonts w:ascii="Calibri" w:cs="Calibri" w:eastAsia="Calibri" w:hAnsi="Calibri"/>
          <w:b/>
          <w:bCs/>
          <w:i w:val="false"/>
          <w:iCs w:val="false"/>
          <w:color w:val="1B2A4A"/>
          <w:sz w:val="36"/>
          <w:szCs w:val="36"/>
        </w:rPr>
        <w:t xml:space="preserve">2. Label-to-Action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 you see…</w:t>
            </w:r>
          </w:p>
        </w:tc>
        <w:tc>
          <w:tcPr>
            <w:tcW w:type="dxa" w:w="6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 this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Teach to all; this is the standard expectation.</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 / Guided Back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to any student; never assign by track.</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Pre-teach Word Bank terms; use Spanish column for access.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Collect a quick response; route with the Decision Cycle.</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the higher-DOK CER/Extension Bank to anyone ready.</w:t>
            </w:r>
          </w:p>
        </w:tc>
      </w:tr>
    </w:tbl>
    <w:p>
      <w:pPr>
        <w:pStyle w:val="Heading1"/>
        <w:keepNext/>
        <w:spacing w:after="90" w:before="220"/>
      </w:pPr>
      <w:r>
        <w:rPr>
          <w:rFonts w:ascii="Calibri" w:cs="Calibri" w:eastAsia="Calibri" w:hAnsi="Calibri"/>
          <w:b/>
          <w:bCs/>
          <w:i w:val="false"/>
          <w:iCs w:val="false"/>
          <w:color w:val="1B2A4A"/>
          <w:sz w:val="36"/>
          <w:szCs w:val="36"/>
        </w:rPr>
        <w:t xml:space="preserve">3. MTSS — Tiers of Support Intensity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8"/>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Tier</w:t>
            </w:r>
          </w:p>
        </w:tc>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Who / when</w:t>
            </w:r>
          </w:p>
        </w:tc>
        <w:tc>
          <w:tcPr>
            <w:tcW w:type="dxa" w:w="4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1 (Core)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All students</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Full deck + workbook CORE PATH, Word Bank, Cornell Notes.</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2 (Targeted)</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Students missing a Progress Check</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Support Back, sentence frames, Rehearsal Lab.</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3 (Intensive)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Persistent barrier</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Pair Guided Back with IEP/504 supports; reteach a step.</w:t>
            </w:r>
          </w:p>
        </w:tc>
      </w:tr>
    </w:tbl>
    <w:p>
      <w:pPr>
        <w:pStyle w:val="Heading1"/>
        <w:keepNext/>
        <w:spacing w:after="90" w:before="220"/>
      </w:pPr>
      <w:r>
        <w:rPr>
          <w:rFonts w:ascii="Calibri" w:cs="Calibri" w:eastAsia="Calibri" w:hAnsi="Calibri"/>
          <w:b/>
          <w:bCs/>
          <w:i w:val="false"/>
          <w:iCs w:val="false"/>
          <w:color w:val="1B2A4A"/>
          <w:sz w:val="36"/>
          <w:szCs w:val="36"/>
        </w:rPr>
        <w:t xml:space="preserve">4. The MTSS Decision Cycle</w:t>
      </w:r>
    </w:p>
    <w:p>
      <w:pPr>
        <w:spacing w:after="100"/>
      </w:pPr>
      <w:r>
        <w:rPr>
          <w:rFonts w:ascii="Calibri" w:cs="Calibri" w:eastAsia="Calibri" w:hAnsi="Calibri"/>
          <w:b/>
          <w:bCs/>
          <w:i w:val="false"/>
          <w:iCs w:val="false"/>
          <w:color w:val="1B2A4A"/>
          <w:sz w:val="24"/>
          <w:szCs w:val="24"/>
        </w:rPr>
        <w:t xml:space="preserve">PROGRESS CHECK → identify barrier → select support → reteach → recheck → extend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Scaffold fading</w:t>
            </w:r>
          </w:p>
          <w:p>
            <w:pPr>
              <w:spacing w:after="40"/>
            </w:pPr>
            <w:r>
              <w:rPr>
                <w:rFonts w:ascii="Calibri" w:cs="Calibri" w:eastAsia="Calibri" w:hAnsi="Calibri"/>
                <w:b w:val="false"/>
                <w:bCs w:val="false"/>
                <w:i w:val="false"/>
                <w:iCs w:val="false"/>
                <w:color w:val="1A1A1A"/>
                <w:sz w:val="22"/>
                <w:szCs w:val="22"/>
              </w:rPr>
              <w:t xml:space="preserve">Fade Guided → Light → independent as evidence grows; reintroduce support for a new barrier. Required IEP/504 accommodations do not fade unless the authorized team changes them.</w:t>
            </w:r>
          </w:p>
        </w:tc>
      </w:tr>
    </w:tbl>
    <w:p>
      <w:pPr>
        <w:pStyle w:val="Heading1"/>
        <w:keepNext/>
        <w:spacing w:after="90" w:before="220"/>
      </w:pPr>
      <w:r>
        <w:rPr>
          <w:rFonts w:ascii="Calibri" w:cs="Calibri" w:eastAsia="Calibri" w:hAnsi="Calibri"/>
          <w:b/>
          <w:bCs/>
          <w:i w:val="false"/>
          <w:iCs w:val="false"/>
          <w:color w:val="1B2A4A"/>
          <w:sz w:val="36"/>
          <w:szCs w:val="36"/>
        </w:rPr>
        <w:t xml:space="preserve">5. District Review Evidence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Criterion</w:t>
            </w:r>
          </w:p>
        </w:tc>
        <w:tc>
          <w:tcPr>
            <w:tcW w:type="dxa" w:w="6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shows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alignment (US.45–58)</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&amp; SSP Crosswalk; per-standard blocks.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Public-domain sources, cited</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 Activity 5 each standard.</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UDL 3.0 visible</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Accessibility matrix; callouts throughout.</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MTSS</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This guide §3–4; wrap-up decision band in the Teacher Deck.</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Assessment integrity</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Answer key here (separate); de-biased positions.</w:t>
            </w:r>
          </w:p>
        </w:tc>
      </w:tr>
    </w:tbl>
    <w:p>
      <w:pPr>
        <w:pStyle w:val="Heading1"/>
        <w:keepNext/>
        <w:spacing w:after="90" w:before="220"/>
      </w:pPr>
      <w:r>
        <w:rPr>
          <w:rFonts w:ascii="Calibri" w:cs="Calibri" w:eastAsia="Calibri" w:hAnsi="Calibri"/>
          <w:b/>
          <w:bCs/>
          <w:i w:val="false"/>
          <w:iCs w:val="false"/>
          <w:color w:val="1B2A4A"/>
          <w:sz w:val="36"/>
          <w:szCs w:val="36"/>
        </w:rPr>
        <w:t xml:space="preserve">6. Direct Teaching + Cornell Notes + Slide Deck Workflow</w:t>
      </w:r>
    </w:p>
    <w:p>
      <w:pPr>
        <w:spacing w:after="100"/>
      </w:pPr>
      <w:r>
        <w:rPr>
          <w:rFonts w:ascii="Calibri" w:cs="Calibri" w:eastAsia="Calibri" w:hAnsi="Calibri"/>
          <w:b w:val="false"/>
          <w:bCs w:val="false"/>
          <w:i w:val="false"/>
          <w:iCs w:val="false"/>
          <w:color w:val="1A1A1A"/>
          <w:sz w:val="22"/>
          <w:szCs w:val="22"/>
        </w:rPr>
        <w:t xml:space="preserve">Project the Student (Lean) Deck; students take Cornell Notes on the Universal Front. The Teacher (Full) Deck carries Quick Reviews, Guided Practice, Checks for Understanding, and Answer Reveals.</w:t>
      </w:r>
    </w:p>
    <w:p>
      <w:pPr>
        <w:pStyle w:val="Heading2"/>
        <w:keepNext/>
        <w:spacing w:after="90" w:before="150"/>
      </w:pPr>
      <w:r>
        <w:rPr>
          <w:rFonts w:ascii="Calibri" w:cs="Calibri" w:eastAsia="Calibri" w:hAnsi="Calibri"/>
          <w:b/>
          <w:bCs/>
          <w:i w:val="false"/>
          <w:iCs w:val="false"/>
          <w:color w:val="1B2A4A"/>
          <w:sz w:val="28"/>
          <w:szCs w:val="28"/>
        </w:rPr>
        <w:t xml:space="preserve">Verified Lean Student Deck ranges (from the final 64-slide deck)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49"/>
        <w:gridCol w:w="1500"/>
        <w:gridCol w:w="1499"/>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Standard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Lean Deck range</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Direct-teaching</w:t>
            </w:r>
          </w:p>
        </w:tc>
        <w:tc>
          <w:tcPr>
            <w:tcW w:type="dxa" w:w="14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Vocab</w:t>
            </w:r>
          </w:p>
        </w:tc>
        <w:tc>
          <w:tcPr>
            <w:tcW w:type="dxa" w:w="15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Primary source</w:t>
            </w:r>
          </w:p>
        </w:tc>
        <w:tc>
          <w:tcPr>
            <w:tcW w:type="dxa" w:w="149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Progress Check</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bl>
    <w:p>
      <w:pPr>
        <w:pStyle w:val="Heading1"/>
        <w:keepNext/>
        <w:spacing w:after="90" w:before="220"/>
      </w:pPr>
      <w:r>
        <w:rPr>
          <w:rFonts w:ascii="Calibri" w:cs="Calibri" w:eastAsia="Calibri" w:hAnsi="Calibri"/>
          <w:b/>
          <w:bCs/>
          <w:i w:val="false"/>
          <w:iCs w:val="false"/>
          <w:color w:val="1B2A4A"/>
          <w:sz w:val="36"/>
          <w:szCs w:val="36"/>
        </w:rPr>
        <w:t xml:space="preserve">7. What to Print and When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Print</w:t>
            </w:r>
          </w:p>
        </w:tc>
        <w:tc>
          <w:tcPr>
            <w:tcW w:type="dxa" w:w="6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Universal Front (per standard)</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Day 1 of each standard.</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 Light Support Backs</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 request only; reverse of the front.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 CER</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After direct teaching, before the standard assessment.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Once per unit for reference.</w:t>
            </w:r>
          </w:p>
        </w:tc>
      </w:tr>
    </w:tbl>
    <w:p>
      <w:pPr>
        <w:pStyle w:val="Heading1"/>
        <w:keepNext/>
        <w:spacing w:after="90" w:before="220"/>
      </w:pPr>
      <w:r>
        <w:rPr>
          <w:rFonts w:ascii="Calibri" w:cs="Calibri" w:eastAsia="Calibri" w:hAnsi="Calibri"/>
          <w:b/>
          <w:bCs/>
          <w:i w:val="false"/>
          <w:iCs w:val="false"/>
          <w:color w:val="1B2A4A"/>
          <w:sz w:val="36"/>
          <w:szCs w:val="36"/>
        </w:rPr>
        <w:t xml:space="preserve">8. Per-Standard Lesson Sequence &amp; Pacing (one standard = one 45-minute period)</w:t>
      </w:r>
    </w:p>
    <w:p>
      <w:pPr>
        <w:spacing w:after="100"/>
      </w:pPr>
      <w:r>
        <w:rPr>
          <w:rFonts w:ascii="Calibri" w:cs="Calibri" w:eastAsia="Calibri" w:hAnsi="Calibri"/>
          <w:b w:val="false"/>
          <w:bCs w:val="false"/>
          <w:i w:val="false"/>
          <w:iCs w:val="false"/>
          <w:color w:val="1A1A1A"/>
          <w:sz w:val="22"/>
          <w:szCs w:val="22"/>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after="90" w:before="150"/>
      </w:pPr>
      <w:r>
        <w:rPr>
          <w:rFonts w:ascii="Calibri" w:cs="Calibri" w:eastAsia="Calibri" w:hAnsi="Calibri"/>
          <w:b/>
          <w:bCs/>
          <w:i w:val="false"/>
          <w:iCs w:val="false"/>
          <w:color w:val="1B2A4A"/>
          <w:sz w:val="28"/>
          <w:szCs w:val="28"/>
        </w:rPr>
        <w:t xml:space="preserve">Honest activity time estimates (pick what fills your 45 minutes)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48"/>
      </w:tblGrid>
      <w:tr>
        <w:trPr>
          <w:tblHeader/>
        </w:trPr>
        <w:tc>
          <w:tcPr>
            <w:tcW w:type="dxa" w:w="33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~Time</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Note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 launch (hook · goal · activate · predict)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Frames the learning target and the day.</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1 — Vocabulary Word Bank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Reference + self-check + quick-write.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2 — Vocabulary Studio (Frayer)</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7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One priority term, four quadrants.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3 — Cornell Notes (with slide deck)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Direct-teaching capture — front + processing back.</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4 — Close Read</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Passage, annotation, text-dependent questions.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 as applicable)</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the period map + mark-up.</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5 — Primary Source / Data (HIPPO)</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 five HIPPO prompts + response.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6 — Practice Quiz</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 few items + one short DOK-3 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7 — CER + Exit Ticket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organizer + paragraph (~12) and Exit Ticket (~3).</w:t>
            </w:r>
          </w:p>
        </w:tc>
      </w:tr>
    </w:tbl>
    <w:p>
      <w:pPr>
        <w:spacing w:after="100"/>
      </w:pPr>
      <w:r>
        <w:rPr>
          <w:rFonts w:ascii="Calibri" w:cs="Calibri" w:eastAsia="Calibri" w:hAnsi="Calibri"/>
          <w:b w:val="false"/>
          <w:bCs w:val="false"/>
          <w:i w:val="false"/>
          <w:iCs w:val="false"/>
          <w:color w:val="1A1A1A"/>
          <w:sz w:val="22"/>
          <w:szCs w:val="22"/>
        </w:rPr>
        <w:t xml:space="preserve">Run every activity and a standard totals ≈ 105 minutes (≈ 95 without a map) — about two periods of work compressed into a one-period design. So it is a menu, not a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How to fill the period — your call</w:t>
            </w:r>
          </w:p>
          <w:p>
            <w:pPr>
              <w:spacing w:after="40"/>
            </w:pPr>
            <w:r>
              <w:rPr>
                <w:rFonts w:ascii="Calibri" w:cs="Calibri" w:eastAsia="Calibri" w:hAnsi="Calibri"/>
                <w:b w:val="false"/>
                <w:bCs w:val="false"/>
                <w:i w:val="false"/>
                <w:iCs w:val="false"/>
                <w:color w:val="1A1A1A"/>
                <w:sz w:val="22"/>
                <w:szCs w:val="22"/>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rFonts w:ascii="Calibri" w:cs="Calibri" w:eastAsia="Calibri" w:hAnsi="Calibri"/>
                <w:b w:val="false"/>
                <w:bCs w:val="false"/>
                <w:i w:val="false"/>
                <w:iCs w:val="false"/>
                <w:color w:val="1A1A1A"/>
                <w:sz w:val="22"/>
                <w:szCs w:val="22"/>
              </w:rPr>
              <w:t xml:space="preserve">The Exit Ticket is the daily formative check; try to close every period with it (see §16 for the keys and reteach routing).</w:t>
            </w:r>
          </w:p>
          <w:p>
            <w:pPr>
              <w:spacing w:after="40"/>
            </w:pPr>
            <w:r>
              <w:rPr>
                <w:rFonts w:ascii="Calibri" w:cs="Calibri" w:eastAsia="Calibri" w:hAnsi="Calibri"/>
                <w:b w:val="false"/>
                <w:bCs w:val="false"/>
                <w:i w:val="false"/>
                <w:iCs w:val="false"/>
                <w:color w:val="1A1A1A"/>
                <w:sz w:val="22"/>
                <w:szCs w:val="22"/>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9. Assessment Source &amp; Item Metadata</w:t>
      </w:r>
    </w:p>
    <w:p>
      <w:pPr>
        <w:spacing w:after="100"/>
      </w:pPr>
      <w:r>
        <w:rPr>
          <w:rFonts w:ascii="Calibri" w:cs="Calibri" w:eastAsia="Calibri" w:hAnsi="Calibri"/>
          <w:b w:val="false"/>
          <w:bCs w:val="false"/>
          <w:i w:val="false"/>
          <w:iCs w:val="false"/>
          <w:color w:val="1A1A1A"/>
          <w:sz w:val="22"/>
          <w:szCs w:val="22"/>
        </w:rPr>
        <w:t xml:space="preserve">Each standard’s Progress Check / Transfer Check is a Teacher-Deck Check for Understanding (DOK 2–3). The additional Practice-Quiz DOK-1 items are History Hack-authored recall items. All items are pre-field-test (classroom-formative), not a secure TCAP form. Correct-answer positions are de-biased and identical across Student Progress Check, Teacher CFU/Reveal, and the workbook Transfer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De-biased key distribution (Transfer Checks, US.45–US.58)</w:t>
            </w:r>
          </w:p>
          <w:p>
            <w:pPr>
              <w:spacing w:after="40"/>
            </w:pPr>
            <w:r>
              <w:rPr>
                <w:rFonts w:ascii="Calibri" w:cs="Calibri" w:eastAsia="Calibri" w:hAnsi="Calibri"/>
                <w:b w:val="false"/>
                <w:bCs w:val="false"/>
                <w:i w:val="false"/>
                <w:iCs w:val="false"/>
                <w:color w:val="1A1A1A"/>
                <w:sz w:val="22"/>
                <w:szCs w:val="22"/>
              </w:rPr>
              <w:t xml:space="preserve">A · B · C · D · A · B · C · D · A · B · C · D · A · B</w:t>
            </w:r>
          </w:p>
        </w:tc>
      </w:tr>
    </w:tbl>
    <w:p>
      <w:pPr>
        <w:pStyle w:val="Heading1"/>
        <w:keepNext/>
        <w:spacing w:after="90" w:before="220"/>
      </w:pPr>
      <w:r>
        <w:rPr>
          <w:rFonts w:ascii="Calibri" w:cs="Calibri" w:eastAsia="Calibri" w:hAnsi="Calibri"/>
          <w:b/>
          <w:bCs/>
          <w:i w:val="false"/>
          <w:iCs w:val="false"/>
          <w:color w:val="1B2A4A"/>
          <w:sz w:val="36"/>
          <w:szCs w:val="36"/>
        </w:rPr>
        <w:t xml:space="preserve">10. Practice Quiz — Answer Key &amp; Rationales</w:t>
      </w:r>
    </w:p>
    <w:p>
      <w:pPr>
        <w:spacing w:after="100"/>
      </w:pPr>
      <w:r>
        <w:rPr>
          <w:rFonts w:ascii="Calibri" w:cs="Calibri" w:eastAsia="Calibri" w:hAnsi="Calibri"/>
          <w:b w:val="false"/>
          <w:bCs w:val="false"/>
          <w:i/>
          <w:iCs/>
          <w:color w:val="6B7280"/>
          <w:sz w:val="20"/>
          <w:szCs w:val="20"/>
        </w:rPr>
        <w:t xml:space="preserve">For teacher use only — keep separate from student copies.</w:t>
      </w:r>
    </w:p>
    <w:p>
      <w:pPr>
        <w:pStyle w:val="Heading3"/>
        <w:keepNext/>
        <w:spacing w:after="90" w:before="150"/>
      </w:pPr>
      <w:r>
        <w:rPr>
          <w:rFonts w:ascii="Calibri" w:cs="Calibri" w:eastAsia="Calibri" w:hAnsi="Calibri"/>
          <w:b/>
          <w:bCs/>
          <w:i w:val="false"/>
          <w:iCs w:val="false"/>
          <w:color w:val="B22234"/>
          <w:sz w:val="24"/>
          <w:szCs w:val="24"/>
        </w:rPr>
        <w:t xml:space="preserve">US.45 — Rise and Spread of Fascism, Communism, and Totalitarianism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q-us45-dok2-1-b</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u1-us45-dok3-tc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 devastation from the Depression, combined with political instability and social anxiety, made populations receptive to charismatic leaders who promised simple solutions to complex problems.</w:t>
            </w:r>
          </w:p>
        </w:tc>
      </w:tr>
    </w:tbl>
    <w:p>
      <w:pPr>
        <w:pStyle w:val="Heading3"/>
        <w:keepNext/>
        <w:spacing w:after="90" w:before="150"/>
      </w:pPr>
      <w:r>
        <w:rPr>
          <w:rFonts w:ascii="Calibri" w:cs="Calibri" w:eastAsia="Calibri" w:hAnsi="Calibri"/>
          <w:b/>
          <w:bCs/>
          <w:i w:val="false"/>
          <w:iCs w:val="false"/>
          <w:color w:val="B22234"/>
          <w:sz w:val="24"/>
          <w:szCs w:val="24"/>
        </w:rPr>
        <w:t xml:space="preserve">US.46 — FDR's Response to World Crises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us46-q2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u1-us46-dok3-tc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Atlantic Charter's principles—self-determination, economic cooperation, collective security—became foundational documents for the UN Charter and shaped the post-war international order.</w:t>
            </w:r>
          </w:p>
        </w:tc>
      </w:tr>
    </w:tbl>
    <w:p>
      <w:pPr>
        <w:pStyle w:val="Heading3"/>
        <w:keepNext/>
        <w:spacing w:after="90" w:before="150"/>
      </w:pPr>
      <w:r>
        <w:rPr>
          <w:rFonts w:ascii="Calibri" w:cs="Calibri" w:eastAsia="Calibri" w:hAnsi="Calibri"/>
          <w:b/>
          <w:bCs/>
          <w:i w:val="false"/>
          <w:iCs w:val="false"/>
          <w:color w:val="B22234"/>
          <w:sz w:val="24"/>
          <w:szCs w:val="24"/>
        </w:rPr>
        <w:t xml:space="preserve">US.47 — U.S. Response to the Holocaust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q-us49-dok2-1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u1-us47-dok3-tc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Multiple factors—legal quotas, bureaucratic obstacles, public anti-Semitism, isolationist sentiment, and Depression-era economic concerns—combined to prevent the U.S. from accepting more Jewish refugees.</w:t>
            </w:r>
          </w:p>
        </w:tc>
      </w:tr>
    </w:tbl>
    <w:p>
      <w:pPr>
        <w:pStyle w:val="Heading3"/>
        <w:keepNext/>
        <w:spacing w:after="90" w:before="150"/>
      </w:pPr>
      <w:r>
        <w:rPr>
          <w:rFonts w:ascii="Calibri" w:cs="Calibri" w:eastAsia="Calibri" w:hAnsi="Calibri"/>
          <w:b/>
          <w:bCs/>
          <w:i w:val="false"/>
          <w:iCs w:val="false"/>
          <w:color w:val="B22234"/>
          <w:sz w:val="24"/>
          <w:szCs w:val="24"/>
        </w:rPr>
        <w:t xml:space="preserve">US.48 — American Entry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us-49-x017</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u1-us48-dok3-tc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Pearl Harbor transformed American politics overnight. The shock of the surprise attack united the country as nothing else could, and isolationism effectively ended as a major political force.</w:t>
            </w:r>
          </w:p>
        </w:tc>
      </w:tr>
    </w:tbl>
    <w:p>
      <w:pPr>
        <w:pStyle w:val="Heading3"/>
        <w:keepNext/>
        <w:spacing w:after="90" w:before="150"/>
      </w:pPr>
      <w:r>
        <w:rPr>
          <w:rFonts w:ascii="Calibri" w:cs="Calibri" w:eastAsia="Calibri" w:hAnsi="Calibri"/>
          <w:b/>
          <w:bCs/>
          <w:i w:val="false"/>
          <w:iCs w:val="false"/>
          <w:color w:val="B22234"/>
          <w:sz w:val="24"/>
          <w:szCs w:val="24"/>
        </w:rPr>
        <w:t xml:space="preserve">US.49 — WWII Leaders &amp; Key Figures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q-us45-dok2-2-b</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u1-us49-dok3-tc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Despite ideological differences and competing post-war visions, Allied leaders coordinated through personal diplomacy, strategic conferences, and agreed priorities like defeating Germany first.</w:t>
            </w:r>
          </w:p>
        </w:tc>
      </w:tr>
    </w:tbl>
    <w:p>
      <w:pPr>
        <w:pStyle w:val="Heading3"/>
        <w:keepNext/>
        <w:spacing w:after="90" w:before="150"/>
      </w:pPr>
      <w:r>
        <w:rPr>
          <w:rFonts w:ascii="Calibri" w:cs="Calibri" w:eastAsia="Calibri" w:hAnsi="Calibri"/>
          <w:b/>
          <w:bCs/>
          <w:i w:val="false"/>
          <w:iCs w:val="false"/>
          <w:color w:val="B22234"/>
          <w:sz w:val="24"/>
          <w:szCs w:val="24"/>
        </w:rPr>
        <w:t xml:space="preserve">US.50 — Major WWII Battles: Midway, Iwo Jima, Okinawa &amp;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q-us50-dok2-1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u1-us50-dok3-tc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Pacific island geography shaped strategy—Midway's location made it a target and defensive position, while Iwo Jima's terrain created costly conditions for attackers but offered essential airfields.</w:t>
            </w:r>
          </w:p>
        </w:tc>
      </w:tr>
    </w:tbl>
    <w:p>
      <w:pPr>
        <w:pStyle w:val="Heading3"/>
        <w:keepNext/>
        <w:spacing w:after="90" w:before="150"/>
      </w:pPr>
      <w:r>
        <w:rPr>
          <w:rFonts w:ascii="Calibri" w:cs="Calibri" w:eastAsia="Calibri" w:hAnsi="Calibri"/>
          <w:b/>
          <w:bCs/>
          <w:i w:val="false"/>
          <w:iCs w:val="false"/>
          <w:color w:val="B22234"/>
          <w:sz w:val="24"/>
          <w:szCs w:val="24"/>
        </w:rPr>
        <w:t xml:space="preserve">US.51 — Special Fighting Forces in WWII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us51-q3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u1-us51-dok3-tc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442nd's extraordinary sacrifice—fighting for a nation that interned their families—represents both the profound patriotism of Japanese Americans and the deep injustice of internment, earning them 21 Medals of Honor and the title of most decorated unit.</w:t>
            </w:r>
          </w:p>
        </w:tc>
      </w:tr>
    </w:tbl>
    <w:p>
      <w:pPr>
        <w:pStyle w:val="Heading3"/>
        <w:keepNext/>
        <w:spacing w:after="90" w:before="150"/>
      </w:pPr>
      <w:r>
        <w:rPr>
          <w:rFonts w:ascii="Calibri" w:cs="Calibri" w:eastAsia="Calibri" w:hAnsi="Calibri"/>
          <w:b/>
          <w:bCs/>
          <w:i w:val="false"/>
          <w:iCs w:val="false"/>
          <w:color w:val="B22234"/>
          <w:sz w:val="24"/>
          <w:szCs w:val="24"/>
        </w:rPr>
        <w:t xml:space="preserve">US.52 — Women in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q-us46-dok2-5</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u1-us52-dok3-tc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"Rosie the Riveter" portrayed women as capable and patriotic but simplified the reality of discrimination, unequal pay, and the double burden of work and domestic expectations women actually faced.</w:t>
            </w:r>
          </w:p>
        </w:tc>
      </w:tr>
    </w:tbl>
    <w:p>
      <w:pPr>
        <w:pStyle w:val="Heading3"/>
        <w:keepNext/>
        <w:spacing w:after="90" w:before="150"/>
      </w:pPr>
      <w:r>
        <w:rPr>
          <w:rFonts w:ascii="Calibri" w:cs="Calibri" w:eastAsia="Calibri" w:hAnsi="Calibri"/>
          <w:b/>
          <w:bCs/>
          <w:i w:val="false"/>
          <w:iCs w:val="false"/>
          <w:color w:val="B22234"/>
          <w:sz w:val="24"/>
          <w:szCs w:val="24"/>
        </w:rPr>
        <w:t xml:space="preserve">US.53 — African Americans in WWII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q-us46-dok2-6</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u1-us53-dok3-tc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Double V campaign brilliantly linked wartime rhetoric about democracy and freedom to the reality of American racism, building civil rights consciousness and organizational strength during the war.</w:t>
            </w:r>
          </w:p>
        </w:tc>
      </w:tr>
    </w:tbl>
    <w:p>
      <w:pPr>
        <w:pStyle w:val="Heading3"/>
        <w:keepNext/>
        <w:spacing w:after="90" w:before="150"/>
      </w:pPr>
      <w:r>
        <w:rPr>
          <w:rFonts w:ascii="Calibri" w:cs="Calibri" w:eastAsia="Calibri" w:hAnsi="Calibri"/>
          <w:b/>
          <w:bCs/>
          <w:i w:val="false"/>
          <w:iCs w:val="false"/>
          <w:color w:val="B22234"/>
          <w:sz w:val="24"/>
          <w:szCs w:val="24"/>
        </w:rPr>
        <w:t xml:space="preserve">US.54 — Japanese American Internment &amp; Korematsu</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q-us54-dok2-2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u1-us54-dok3-tc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Internment denied fundamental rights: no individual determination of disloyalty, no hearings, and racial classification that treated all Japanese Americans as suspects while Germans and Italians faced no such treatment.</w:t>
            </w:r>
          </w:p>
        </w:tc>
      </w:tr>
    </w:tbl>
    <w:p>
      <w:pPr>
        <w:pStyle w:val="Heading3"/>
        <w:keepNext/>
        <w:spacing w:after="90" w:before="150"/>
      </w:pPr>
      <w:r>
        <w:rPr>
          <w:rFonts w:ascii="Calibri" w:cs="Calibri" w:eastAsia="Calibri" w:hAnsi="Calibri"/>
          <w:b/>
          <w:bCs/>
          <w:i w:val="false"/>
          <w:iCs w:val="false"/>
          <w:color w:val="B22234"/>
          <w:sz w:val="24"/>
          <w:szCs w:val="24"/>
        </w:rPr>
        <w:t xml:space="preserve">US.55 — Home Front Mobilization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q-us53-add-1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u1-us55-dok3-tc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Coordinated propaganda built home front morale, recruited workers for war industries, encouraged conservation and bond purchases, and maintained public support through celebration of American values and demonization of Axis powers.</w:t>
            </w:r>
          </w:p>
        </w:tc>
      </w:tr>
    </w:tbl>
    <w:p>
      <w:pPr>
        <w:pStyle w:val="Heading3"/>
        <w:keepNext/>
        <w:spacing w:after="90" w:before="150"/>
      </w:pPr>
      <w:r>
        <w:rPr>
          <w:rFonts w:ascii="Calibri" w:cs="Calibri" w:eastAsia="Calibri" w:hAnsi="Calibri"/>
          <w:b/>
          <w:bCs/>
          <w:i w:val="false"/>
          <w:iCs w:val="false"/>
          <w:color w:val="B22234"/>
          <w:sz w:val="24"/>
          <w:szCs w:val="24"/>
        </w:rPr>
        <w:t xml:space="preserve">US.56 — Manhattan Project &amp; Atomic Bomb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q-us56-dok2-1</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u1-us56-dok3-tc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Multiple factors influenced Truman: avoiding projected massive invasion casualties, ending the war quickly, Soviet considerations, and Japanese unwillingness to accept unconditional surrender despite conventional bombing.</w:t>
            </w:r>
          </w:p>
        </w:tc>
      </w:tr>
    </w:tbl>
    <w:p>
      <w:pPr>
        <w:pStyle w:val="Heading3"/>
        <w:keepNext/>
        <w:spacing w:after="90" w:before="150"/>
      </w:pPr>
      <w:r>
        <w:rPr>
          <w:rFonts w:ascii="Calibri" w:cs="Calibri" w:eastAsia="Calibri" w:hAnsi="Calibri"/>
          <w:b/>
          <w:bCs/>
          <w:i w:val="false"/>
          <w:iCs w:val="false"/>
          <w:color w:val="B22234"/>
          <w:sz w:val="24"/>
          <w:szCs w:val="24"/>
        </w:rPr>
        <w:t xml:space="preserve">US.57 —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PS-0043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u1-us57-dok3-tc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Potsdam exposed the fundamental conflict between Soviet and Western visions—Stalin's security buffer in Eastern Europe versus Western hopes for democratic governments—that would create the Cold War division.</w:t>
            </w:r>
          </w:p>
        </w:tc>
      </w:tr>
    </w:tbl>
    <w:p>
      <w:pPr>
        <w:pStyle w:val="Heading3"/>
        <w:keepNext/>
        <w:spacing w:after="90" w:before="150"/>
      </w:pPr>
      <w:r>
        <w:rPr>
          <w:rFonts w:ascii="Calibri" w:cs="Calibri" w:eastAsia="Calibri" w:hAnsi="Calibri"/>
          <w:b/>
          <w:bCs/>
          <w:i w:val="false"/>
          <w:iCs w:val="false"/>
          <w:color w:val="B22234"/>
          <w:sz w:val="24"/>
          <w:szCs w:val="24"/>
        </w:rPr>
        <w:t xml:space="preserve">US.58 — Founding of the United Nations &amp;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us58-q2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u1-us58-dok3-tc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Every major UN goal addressed WWII's causes: collective security against aggression, human rights protection against Holocaust-type atrocities, self-determination against imperialism, and cooperation against economic nationalism.</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11. How CAST UDL 3.0 Is Visible in Unit 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UDL principle</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Engagement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 Tennessee Connection relevance; optional extensions.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Representation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Word Bank + pronunciation + Spanish; Close-Read supports; HIPPO scaffold.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Action &amp; Expression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 say / diagram; Frayer studio; CER with rubric.</w:t>
            </w:r>
          </w:p>
        </w:tc>
      </w:tr>
    </w:tbl>
    <w:p>
      <w:pPr>
        <w:spacing w:after="100"/>
      </w:pPr>
      <w:r>
        <w:rPr>
          <w:rFonts w:ascii="Calibri" w:cs="Calibri" w:eastAsia="Calibri" w:hAnsi="Calibri"/>
          <w:b w:val="false"/>
          <w:bCs w:val="false"/>
          <w:i/>
          <w:iCs/>
          <w:color w:val="6B7280"/>
          <w:sz w:val="20"/>
          <w:szCs w:val="20"/>
        </w:rPr>
        <w:t xml:space="preserve">No fixed-track labels appear anywhere in the student materials; supports are universal and optional.</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12. Printable Blank Templates</w:t>
      </w:r>
    </w:p>
    <w:p>
      <w:pPr>
        <w:spacing w:after="100"/>
      </w:pPr>
      <w:r>
        <w:rPr>
          <w:rFonts w:ascii="Calibri" w:cs="Calibri" w:eastAsia="Calibri" w:hAnsi="Calibri"/>
          <w:b w:val="false"/>
          <w:bCs w:val="false"/>
          <w:i w:val="false"/>
          <w:iCs w:val="false"/>
          <w:color w:val="1A1A1A"/>
          <w:sz w:val="22"/>
          <w:szCs w:val="22"/>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after="90" w:before="150"/>
      </w:pPr>
      <w:r>
        <w:rPr>
          <w:rFonts w:ascii="Calibri" w:cs="Calibri" w:eastAsia="Calibri" w:hAnsi="Calibri"/>
          <w:b/>
          <w:bCs/>
          <w:i w:val="false"/>
          <w:iCs w:val="false"/>
          <w:color w:val="1B2A4A"/>
          <w:sz w:val="28"/>
          <w:szCs w:val="28"/>
        </w:rPr>
        <w:t xml:space="preserve">Blank Cornell Notes — Universal Front (printable)</w:t>
      </w:r>
    </w:p>
    <w:p>
      <w:pPr>
        <w:spacing w:after="100"/>
      </w:pPr>
      <w:r>
        <w:rPr>
          <w:rFonts w:ascii="Calibri" w:cs="Calibri" w:eastAsia="Calibri" w:hAnsi="Calibri"/>
          <w:b w:val="false"/>
          <w:bCs w:val="false"/>
          <w:i w:val="false"/>
          <w:iCs w:val="false"/>
          <w:color w:val="1A1A1A"/>
          <w:sz w:val="21"/>
          <w:szCs w:val="21"/>
        </w:rPr>
        <w:t xml:space="preserve">Name: ______________________    Class / Period: __________    Date: __________    Topic: 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LEARNING TARGET</w:t>
            </w:r>
          </w:p>
          <w:p>
            <w:pPr>
              <w:spacing w:after="40"/>
            </w:pPr>
            <w:r>
              <w:rPr>
                <w:rFonts w:ascii="Calibri" w:cs="Calibri" w:eastAsia="Calibri" w:hAnsi="Calibri"/>
                <w:b w:val="false"/>
                <w:bCs w:val="false"/>
                <w:i w:val="false"/>
                <w:iCs w:val="false"/>
                <w:color w:val="1A1A1A"/>
                <w:sz w:val="22"/>
                <w:szCs w:val="22"/>
              </w:rPr>
              <w:t xml:space="preserve">I can __________________________________________________________________________________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Guiding cues (about 25%)</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My notes (about 75%)</w:t>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The 25/75 split describes the approximate width of each writing column (label, not a fixed track).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Key terms to list</w:t>
            </w:r>
          </w:p>
        </w:tc>
      </w:tr>
      <w:tr>
        <w:trPr>
          <w:trHeight w:val="4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Summary — In your own words (2–3 sentences)</w:t>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My 12–15 word headline</w:t>
            </w:r>
          </w:p>
        </w:tc>
      </w:tr>
      <w:tr>
        <w:trPr>
          <w:trHeight w:val="4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Print duplex: the Guided or Light Support for these notes goes on the reverse of this page.</w:t>
      </w:r>
    </w:p>
    <w:p>
      <w:r>
        <w:br w:type="page"/>
      </w:r>
    </w:p>
    <w:p>
      <w:pPr>
        <w:pStyle w:val="Heading2"/>
        <w:keepNext/>
        <w:spacing w:after="90" w:before="150"/>
      </w:pPr>
      <w:r>
        <w:rPr>
          <w:rFonts w:ascii="Calibri" w:cs="Calibri" w:eastAsia="Calibri" w:hAnsi="Calibri"/>
          <w:b/>
          <w:bCs/>
          <w:i w:val="false"/>
          <w:iCs w:val="false"/>
          <w:color w:val="1B2A4A"/>
          <w:sz w:val="28"/>
          <w:szCs w:val="28"/>
        </w:rPr>
        <w:t xml:space="preserve">Blank Vocabulary Studio — Frayer (printable)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RESPONSE CHOICE</w:t>
            </w:r>
          </w:p>
          <w:p>
            <w:pPr>
              <w:spacing w:after="40"/>
            </w:pPr>
            <w:r>
              <w:rPr>
                <w:rFonts w:ascii="Calibri" w:cs="Calibri" w:eastAsia="Calibri" w:hAnsi="Calibri"/>
                <w:b w:val="false"/>
                <w:bCs w:val="false"/>
                <w:i w:val="false"/>
                <w:iCs w:val="false"/>
                <w:color w:val="1A1A1A"/>
                <w:sz w:val="22"/>
                <w:szCs w:val="22"/>
              </w:rPr>
              <w:t xml:space="preserve">Complete the studio by writing, speaking, or diagramming.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C89B3C"/>
                <w:sz w:val="18"/>
                <w:szCs w:val="18"/>
              </w:rPr>
              <w:t xml:space="preserve">PRIORITY TERM</w:t>
            </w:r>
            <w:r>
              <w:rPr>
                <w:rFonts w:ascii="Calibri" w:cs="Calibri" w:eastAsia="Calibri" w:hAnsi="Calibri"/>
                <w:b/>
                <w:bCs/>
                <w:i w:val="false"/>
                <w:iCs w:val="false"/>
                <w:color w:val="FFFFFF"/>
                <w:sz w:val="24"/>
                <w:szCs w:val="24"/>
              </w:rPr>
              <w:t xml:space="preserve">     __________________________     ES: __________________</w:t>
            </w:r>
          </w:p>
        </w:tc>
      </w:tr>
    </w:tbl>
    <w:p>
      <w:pPr>
        <w:spacing w:after="100"/>
      </w:pPr>
      <w:r>
        <w:rPr>
          <w:rFonts w:ascii="Calibri" w:cs="Calibri" w:eastAsia="Calibri" w:hAnsi="Calibri"/>
          <w:b w:val="false"/>
          <w:bCs w:val="false"/>
          <w:i w:val="false"/>
          <w:iCs w:val="false"/>
          <w:color w:val="1A1A1A"/>
          <w:sz w:val="20"/>
          <w:szCs w:val="20"/>
        </w:rPr>
        <w:t xml:space="preserve">Word-bank meaning to build on: ______________________________________________________________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Characteristics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bCs/>
                <w:i w:val="false"/>
                <w:iC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Non-examples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Use it to explain — write one sentence that uses the term</w:t>
            </w:r>
          </w:p>
        </w:tc>
      </w:tr>
      <w:tr>
        <w:trPr>
          <w:trHeight w:val="5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13. Social Studies Practices (SSP) Crosswalk</w:t>
      </w:r>
    </w:p>
    <w:p>
      <w:pPr>
        <w:spacing w:after="100"/>
      </w:pPr>
      <w:r>
        <w:rPr>
          <w:rFonts w:ascii="Calibri" w:cs="Calibri" w:eastAsia="Calibri" w:hAnsi="Calibri"/>
          <w:b w:val="false"/>
          <w:bCs w:val="false"/>
          <w:i w:val="false"/>
          <w:iCs w:val="false"/>
          <w:color w:val="1A1A1A"/>
          <w:sz w:val="22"/>
          <w:szCs w:val="22"/>
        </w:rPr>
        <w:t xml:space="preserve">Each activity in the seven-activity cycle builds specific Tennessee Social Studies Practices. Every SSP.01–SSP.06 is covered within each standard’s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Builds</w:t>
            </w:r>
          </w:p>
        </w:tc>
        <w:tc>
          <w:tcPr>
            <w:tcW w:type="dxa" w:w="45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Practice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Notes (Activity 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 historical awareness — sequence events, recognize cause &amp; effect.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Close Read (Activity 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SSP.03 · 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Synthesize data from multiple sources; historical awareness.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Primary Source / HIPPO (Activity 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 · SSP.02</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Gather, analyze, and evaluate sources; critically examine a source for point of view, bias, context.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SSP.06</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relationships among geography, economics, and society across time and place.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(Activity 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SSP.01–06 (assessed)</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Applied across items.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(Activity 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SSP.04</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Construct and communicate arguments citing supporting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Coverage</w:t>
            </w:r>
          </w:p>
          <w:p>
            <w:pPr>
              <w:spacing w:after="40"/>
            </w:pPr>
            <w:r>
              <w:rPr>
                <w:rFonts w:ascii="Calibri" w:cs="Calibri" w:eastAsia="Calibri" w:hAnsi="Calibri"/>
                <w:b w:val="false"/>
                <w:bCs w:val="false"/>
                <w:i w:val="false"/>
                <w:iCs w:val="false"/>
                <w:color w:val="1A1A1A"/>
                <w:sz w:val="22"/>
                <w:szCs w:val="22"/>
              </w:rPr>
              <w:t xml:space="preserve">All six practices (SSP.01–SSP.06) are built within every standard’s cycle.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14. Standard Dimension Coverage (C · E · G · H · P · T · TCA)</w:t>
      </w:r>
    </w:p>
    <w:p>
      <w:pPr>
        <w:spacing w:after="100"/>
      </w:pPr>
      <w:r>
        <w:rPr>
          <w:rFonts w:ascii="Calibri" w:cs="Calibri" w:eastAsia="Calibri" w:hAnsi="Calibri"/>
          <w:b w:val="false"/>
          <w:bCs w:val="false"/>
          <w:i w:val="false"/>
          <w:iCs w:val="false"/>
          <w:color w:val="1A1A1A"/>
          <w:sz w:val="22"/>
          <w:szCs w:val="22"/>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after="90" w:before="150"/>
      </w:pPr>
      <w:r>
        <w:rPr>
          <w:rFonts w:ascii="Calibri" w:cs="Calibri" w:eastAsia="Calibri" w:hAnsi="Calibri"/>
          <w:b/>
          <w:bCs/>
          <w:i w:val="false"/>
          <w:iCs w:val="false"/>
          <w:color w:val="B22234"/>
          <w:sz w:val="24"/>
          <w:szCs w:val="24"/>
        </w:rPr>
        <w:t xml:space="preserve">US.45 — Rise and Spread of Fascism, Communism, and Totalitarianism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Rise and Spread of Fascism, Communism, and Totalitarianism: Fascism is characterized by ultranationalism (extreme devotion to nation above individual rights), authoritarian leadership with dictatorial power concentrated in a single leader (Führer, Duce), and militarism glorifying war and aggressive expansion.</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Rise and Spread of Fascism, Communism, and Totalitarianism: Fascism is characterized by ultranationalism (extreme devotion to nation above individual rights), authoritarian leadership with dictatorial power concentrated in a single leader (Führer, Duce), and militarism glorifying war and aggressive expansion.</w:t>
            </w:r>
          </w:p>
        </w:tc>
      </w:tr>
    </w:tbl>
    <w:p>
      <w:pPr>
        <w:pStyle w:val="Heading3"/>
        <w:keepNext/>
        <w:spacing w:after="90" w:before="150"/>
      </w:pPr>
      <w:r>
        <w:rPr>
          <w:rFonts w:ascii="Calibri" w:cs="Calibri" w:eastAsia="Calibri" w:hAnsi="Calibri"/>
          <w:b/>
          <w:bCs/>
          <w:i w:val="false"/>
          <w:iCs w:val="false"/>
          <w:color w:val="B22234"/>
          <w:sz w:val="24"/>
          <w:szCs w:val="24"/>
        </w:rPr>
        <w:t xml:space="preserve">US.46 — FDR's Response to World Crises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FDR's Response to World Crises: As Japan invaded China and European tensions grew, Roosevelt faced strong isolationist sentiment reflected in the Neutrality Acts (1935-1937).</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FDR's Response to World Crises: As Japan invaded China and European tensions grew, Roosevelt faced strong isolationist sentiment reflected in the Neutrality Acts (1935-1937).</w:t>
            </w:r>
          </w:p>
        </w:tc>
      </w:tr>
    </w:tbl>
    <w:p>
      <w:pPr>
        <w:pStyle w:val="Heading3"/>
        <w:keepNext/>
        <w:spacing w:after="90" w:before="150"/>
      </w:pPr>
      <w:r>
        <w:rPr>
          <w:rFonts w:ascii="Calibri" w:cs="Calibri" w:eastAsia="Calibri" w:hAnsi="Calibri"/>
          <w:b/>
          <w:bCs/>
          <w:i w:val="false"/>
          <w:iCs w:val="false"/>
          <w:color w:val="B22234"/>
          <w:sz w:val="24"/>
          <w:szCs w:val="24"/>
        </w:rPr>
        <w:t xml:space="preserve">US.47 — U.S. Response to the Holocaust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U.S. Response to the Holocaust: The National Origins Act (1924) limited immigration from Eastern and Southern Europe where most Jews lived.  The quota system severely restricted Jewish immigration, and U.S.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U.S. Response to the Holocaust: The National Origins Act (1924) limited immigration from Eastern and Southern Europe where most Jews lived.  The quota system severely restricted Jewish immigration, and U.S.</w:t>
            </w:r>
          </w:p>
        </w:tc>
      </w:tr>
    </w:tbl>
    <w:p>
      <w:pPr>
        <w:pStyle w:val="Heading3"/>
        <w:keepNext/>
        <w:spacing w:after="90" w:before="150"/>
      </w:pPr>
      <w:r>
        <w:rPr>
          <w:rFonts w:ascii="Calibri" w:cs="Calibri" w:eastAsia="Calibri" w:hAnsi="Calibri"/>
          <w:b/>
          <w:bCs/>
          <w:i w:val="false"/>
          <w:iCs w:val="false"/>
          <w:color w:val="B22234"/>
          <w:sz w:val="24"/>
          <w:szCs w:val="24"/>
        </w:rPr>
        <w:t xml:space="preserve">US.48 — American Entry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American Entry into World War II: German U-boats attacked U.S.  ships carrying Lend-Lease supplies, leading to an undeclared naval war with the U.S.  Navy escorting convoys and engaging German submarines.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American Entry into World War II: German U-boats attacked U.S.  ships carrying Lend-Lease supplies, leading to an undeclared naval war with the U.S.  Navy escorting convoys and engaging German submarines.</w:t>
            </w:r>
          </w:p>
        </w:tc>
      </w:tr>
    </w:tbl>
    <w:p>
      <w:pPr>
        <w:pStyle w:val="Heading3"/>
        <w:keepNext/>
        <w:spacing w:after="90" w:before="150"/>
      </w:pPr>
      <w:r>
        <w:rPr>
          <w:rFonts w:ascii="Calibri" w:cs="Calibri" w:eastAsia="Calibri" w:hAnsi="Calibri"/>
          <w:b/>
          <w:bCs/>
          <w:i w:val="false"/>
          <w:iCs w:val="false"/>
          <w:color w:val="B22234"/>
          <w:sz w:val="24"/>
          <w:szCs w:val="24"/>
        </w:rPr>
        <w:t xml:space="preserve">US.49 — WWII Leaders &amp; Key Figures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WWII Leaders &amp; Key Figures: Winston Churchill served as British Prime Minister (1940-1945), inspiring British resistance during the Battle of Britain and partnering with FDR on the Atlantic Charter.</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WWII Leaders &amp; Key Figures: Winston Churchill served as British Prime Minister (1940-1945), inspiring British resistance during the Battle of Britain and partnering with FDR on the Atlantic Charter.</w:t>
            </w:r>
          </w:p>
        </w:tc>
      </w:tr>
    </w:tbl>
    <w:p>
      <w:pPr>
        <w:pStyle w:val="Heading3"/>
        <w:keepNext/>
        <w:spacing w:after="90" w:before="150"/>
      </w:pPr>
      <w:r>
        <w:rPr>
          <w:rFonts w:ascii="Calibri" w:cs="Calibri" w:eastAsia="Calibri" w:hAnsi="Calibri"/>
          <w:b/>
          <w:bCs/>
          <w:i w:val="false"/>
          <w:iCs w:val="false"/>
          <w:color w:val="B22234"/>
          <w:sz w:val="24"/>
          <w:szCs w:val="24"/>
        </w:rPr>
        <w:t xml:space="preserve">US.50 — Major WWII Battles: Midway, Iwo Jima, Okinawa &amp;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Major WWII Battles: Midway, Iwo Jima, Okinawa &amp; D-Day: Midway Atoll's strategic location in the central Pacific made it crucial for both Japanese expansion and American defense.  U.S.  codebreakers broke Japanese naval codes, revealing attack plans.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Major WWII Battles: Midway, Iwo Jima, Okinawa &amp; D-Day: Midway Atoll's strategic location in the central Pacific made it crucial for both Japanese expansion and American defense.  U.S.  codebreakers broke Japanese naval codes, revealing attack plans.</w:t>
            </w:r>
          </w:p>
        </w:tc>
      </w:tr>
    </w:tbl>
    <w:p>
      <w:pPr>
        <w:pStyle w:val="Heading3"/>
        <w:keepNext/>
        <w:spacing w:after="90" w:before="150"/>
      </w:pPr>
      <w:r>
        <w:rPr>
          <w:rFonts w:ascii="Calibri" w:cs="Calibri" w:eastAsia="Calibri" w:hAnsi="Calibri"/>
          <w:b/>
          <w:bCs/>
          <w:i w:val="false"/>
          <w:iCs w:val="false"/>
          <w:color w:val="B22234"/>
          <w:sz w:val="24"/>
          <w:szCs w:val="24"/>
        </w:rPr>
        <w:t xml:space="preserve">US.51 — Special Fighting Forces in WWII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Special Fighting Forces in WWII: The Tuskegee Airmen were the first African American military aviators in the U.S.  Armed Forces.  Trained at Tuskegee Army Air Field in Alabama, the 332nd Fighter Group flew over 15,000 sorties in Europe and North Africa.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Special Fighting Forces in WWII: The Tuskegee Airmen were the first African American military aviators in the U.S.  Armed Forces.  Trained at Tuskegee Army Air Field in Alabama, the 332nd Fighter Group flew over 15,000 sorties in Europe and North Africa.</w:t>
            </w:r>
          </w:p>
        </w:tc>
      </w:tr>
    </w:tbl>
    <w:p>
      <w:pPr>
        <w:pStyle w:val="Heading3"/>
        <w:keepNext/>
        <w:spacing w:after="90" w:before="150"/>
      </w:pPr>
      <w:r>
        <w:rPr>
          <w:rFonts w:ascii="Calibri" w:cs="Calibri" w:eastAsia="Calibri" w:hAnsi="Calibri"/>
          <w:b/>
          <w:bCs/>
          <w:i w:val="false"/>
          <w:iCs w:val="false"/>
          <w:color w:val="B22234"/>
          <w:sz w:val="24"/>
          <w:szCs w:val="24"/>
        </w:rPr>
        <w:t xml:space="preserve">US.52 — Women in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Women in World War II: With 16 million men serving in the armed forces, a massive labor shortage emerged as war production required doubling the manufacturing workforce.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Women in World War II: With 16 million men serving in the armed forces, a massive labor shortage emerged as war production required doubling the manufacturing workforce.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Women in World War II: With 16 million men serving in the armed forces, a massive labor shortage emerged as war production required doubling the manufacturing workforce.</w:t>
            </w:r>
          </w:p>
        </w:tc>
      </w:tr>
    </w:tbl>
    <w:p>
      <w:pPr>
        <w:pStyle w:val="Heading3"/>
        <w:keepNext/>
        <w:spacing w:after="90" w:before="150"/>
      </w:pPr>
      <w:r>
        <w:rPr>
          <w:rFonts w:ascii="Calibri" w:cs="Calibri" w:eastAsia="Calibri" w:hAnsi="Calibri"/>
          <w:b/>
          <w:bCs/>
          <w:i w:val="false"/>
          <w:iCs w:val="false"/>
          <w:color w:val="B22234"/>
          <w:sz w:val="24"/>
          <w:szCs w:val="24"/>
        </w:rPr>
        <w:t xml:space="preserve">US.53 — African Americans in WWII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African Americans in WWII: 1.5 million African Americans moved North and West during the 1940s to cities like Detroit, Chicago, and Los Angeles.  Defense industries offered higher wages than Southern agriculture, and average Black family income doubled during the war.</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African Americans in WWII: 1.5 million African Americans moved North and West during the 1940s to cities like Detroit, Chicago, and Los Angeles.  Defense industries offered higher wages than Southern agriculture, and average Black family income doubled during the war.</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African Americans in WWII: 1.5 million African Americans moved North and West during the 1940s to cities like Detroit, Chicago, and Los Angeles.  Defense industries offered higher wages than Southern agriculture, and average Black family income doubled during the war.</w:t>
            </w:r>
          </w:p>
        </w:tc>
      </w:tr>
    </w:tbl>
    <w:p>
      <w:pPr>
        <w:pStyle w:val="Heading3"/>
        <w:keepNext/>
        <w:spacing w:after="90" w:before="150"/>
      </w:pPr>
      <w:r>
        <w:rPr>
          <w:rFonts w:ascii="Calibri" w:cs="Calibri" w:eastAsia="Calibri" w:hAnsi="Calibri"/>
          <w:b/>
          <w:bCs/>
          <w:i w:val="false"/>
          <w:iCs w:val="false"/>
          <w:color w:val="B22234"/>
          <w:sz w:val="24"/>
          <w:szCs w:val="24"/>
        </w:rPr>
        <w:t xml:space="preserve">US.54 — Japanese American Internment &amp; Korematsu</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Japanese American Internment &amp; Korematsu: Following Pearl Harbor, Executive Order 9066 (February 1942) authorized removal of persons from designated military areas, leading to internment of approximately 120,000 Japanese Americans—two-thirds of whom were U.S.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Japanese American Internment &amp; Korematsu: Following Pearl Harbor, Executive Order 9066 (February 1942) authorized removal of persons from designated military areas, leading to internment of approximately 120,000 Japanese Americans—two-thirds of whom were U.S.</w:t>
            </w:r>
          </w:p>
        </w:tc>
      </w:tr>
    </w:tbl>
    <w:p>
      <w:pPr>
        <w:pStyle w:val="Heading3"/>
        <w:keepNext/>
        <w:spacing w:after="90" w:before="150"/>
      </w:pPr>
      <w:r>
        <w:rPr>
          <w:rFonts w:ascii="Calibri" w:cs="Calibri" w:eastAsia="Calibri" w:hAnsi="Calibri"/>
          <w:b/>
          <w:bCs/>
          <w:i w:val="false"/>
          <w:iCs w:val="false"/>
          <w:color w:val="B22234"/>
          <w:sz w:val="24"/>
          <w:szCs w:val="24"/>
        </w:rPr>
        <w:t xml:space="preserve">US.55 — Home Front Mobilization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Home Front Mobilization: Ration books with coupons controlled civilian access to gasoline, tires, sugar, meat, coffee, and other commodities.  This ensured military supplies while distributing scarce goods fairly.</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Home Front Mobilization: Ration books with coupons controlled civilian access to gasoline, tires, sugar, meat, coffee, and other commodities.  This ensured military supplies while distributing scarce goods fairly.</w:t>
            </w:r>
          </w:p>
        </w:tc>
      </w:tr>
    </w:tbl>
    <w:p>
      <w:pPr>
        <w:pStyle w:val="Heading3"/>
        <w:keepNext/>
        <w:spacing w:after="90" w:before="150"/>
      </w:pPr>
      <w:r>
        <w:rPr>
          <w:rFonts w:ascii="Calibri" w:cs="Calibri" w:eastAsia="Calibri" w:hAnsi="Calibri"/>
          <w:b/>
          <w:bCs/>
          <w:i w:val="false"/>
          <w:iCs w:val="false"/>
          <w:color w:val="B22234"/>
          <w:sz w:val="24"/>
          <w:szCs w:val="24"/>
        </w:rPr>
        <w:t xml:space="preserve">US.56 — Manhattan Project &amp; Atomic Bomb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Manhattan Project &amp; Atomic Bomb: Oak Ridge was selected for uranium enrichment because of its remote location providing security isolation, abundant electrical power from TVA, good transportation access, and available land.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Manhattan Project &amp; Atomic Bomb: Oak Ridge was selected for uranium enrichment because of its remote location providing security isolation, abundant electrical power from TVA, good transportation access, and available land.</w:t>
            </w:r>
          </w:p>
        </w:tc>
      </w:tr>
    </w:tbl>
    <w:p>
      <w:pPr>
        <w:pStyle w:val="Heading3"/>
        <w:keepNext/>
        <w:spacing w:after="90" w:before="150"/>
      </w:pPr>
      <w:r>
        <w:rPr>
          <w:rFonts w:ascii="Calibri" w:cs="Calibri" w:eastAsia="Calibri" w:hAnsi="Calibri"/>
          <w:b/>
          <w:bCs/>
          <w:i w:val="false"/>
          <w:iCs w:val="false"/>
          <w:color w:val="B22234"/>
          <w:sz w:val="24"/>
          <w:szCs w:val="24"/>
        </w:rPr>
        <w:t xml:space="preserve">US.57 —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Yalta and Potsdam Conferences: Roosevelt, Churchill, and Stalin met as Allied victory approached.  Major agreements included UN formation plans, division of Germany into occupation zones, and Soviet entry into the war against Japan.</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Yalta and Potsdam Conferences: Roosevelt, Churchill, and Stalin met as Allied victory approached.  Major agreements included UN formation plans, division of Germany into occupation zones, and Soviet entry into the war against Japan.</w:t>
            </w:r>
          </w:p>
        </w:tc>
      </w:tr>
    </w:tbl>
    <w:p>
      <w:pPr>
        <w:pStyle w:val="Heading3"/>
        <w:keepNext/>
        <w:spacing w:after="90" w:before="150"/>
      </w:pPr>
      <w:r>
        <w:rPr>
          <w:rFonts w:ascii="Calibri" w:cs="Calibri" w:eastAsia="Calibri" w:hAnsi="Calibri"/>
          <w:b/>
          <w:bCs/>
          <w:i w:val="false"/>
          <w:iCs w:val="false"/>
          <w:color w:val="B22234"/>
          <w:sz w:val="24"/>
          <w:szCs w:val="24"/>
        </w:rPr>
        <w:t xml:space="preserve">US.58 — Founding of the United Nations &amp;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Founding of the United Nations &amp; Cordell Hull: The League of Nations failed because the United States never joined, it lacked enforcement mechanisms, major powers could ignore it, and it couldn't prevent aggression by Germany, Italy, and Japan.</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Founding of the United Nations &amp; Cordell Hull: The League of Nations failed because the United States never joined, it lacked enforcement mechanisms, major powers could ignore it, and it couldn't prevent aggression by Germany, Italy, and Japan.</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Founding of the United Nations &amp; Cordell Hull: The League of Nations failed because the United States never joined, it lacked enforcement mechanisms, major powers could ignore it, and it couldn't prevent aggression by Germany, Italy, and Japan.</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15. Constructed Response — Student Self-Score, the Web-App Check, and Your 6-Point Scale</w:t>
      </w:r>
    </w:p>
    <w:p>
      <w:pPr>
        <w:spacing w:after="100"/>
      </w:pPr>
      <w:r>
        <w:rPr>
          <w:rFonts w:ascii="Calibri" w:cs="Calibri" w:eastAsia="Calibri" w:hAnsi="Calibri"/>
          <w:b w:val="false"/>
          <w:bCs w:val="false"/>
          <w:i w:val="false"/>
          <w:iCs w:val="false"/>
          <w:color w:val="1A1A1A"/>
          <w:sz w:val="22"/>
          <w:szCs w:val="22"/>
        </w:rPr>
        <w:t xml:space="preserve">One rubric, three views. Students now SELF-SCORE every constructed response — the CER (Activity 7), the HIPPO source analysis (Activity 5), and the final reflection — on the 4-level grid below, the SAME grid built into the History Hack web app. They then type the response into the app for instant feedback and compare the app’s score to their own. You score holistically on the 6-point scale; the crosswalk reconciles the two.</w:t>
      </w:r>
    </w:p>
    <w:p>
      <w:pPr>
        <w:pStyle w:val="Heading2"/>
        <w:keepNext/>
        <w:spacing w:after="90" w:before="150"/>
      </w:pPr>
      <w:r>
        <w:rPr>
          <w:rFonts w:ascii="Calibri" w:cs="Calibri" w:eastAsia="Calibri" w:hAnsi="Calibri"/>
          <w:b/>
          <w:bCs/>
          <w:i w:val="false"/>
          <w:iCs w:val="false"/>
          <w:color w:val="1B2A4A"/>
          <w:sz w:val="28"/>
          <w:szCs w:val="28"/>
        </w:rPr>
        <w:t xml:space="preserve">15a. The student self-scoring rubric (identical in the workbook and the web app)</w:t>
      </w:r>
    </w:p>
    <w:p>
      <w:pPr>
        <w:spacing w:after="100"/>
      </w:pPr>
      <w:r>
        <w:rPr>
          <w:rFonts w:ascii="Calibri" w:cs="Calibri" w:eastAsia="Calibri" w:hAnsi="Calibri"/>
          <w:b w:val="false"/>
          <w:bCs w:val="false"/>
          <w:i/>
          <w:iCs/>
          <w:color w:val="6B7280"/>
          <w:sz w:val="20"/>
          <w:szCs w:val="20"/>
        </w:rPr>
        <w:t xml:space="preserve">This is exactly what the student marks on the page after each constructed response. Each dimension is scored 4–1; the three add to a total out of 12.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48"/>
        <w:gridCol w:w="2100"/>
        <w:gridCol w:w="1800"/>
        <w:gridCol w:w="1800"/>
        <w:gridCol w:w="2200"/>
      </w:tblGrid>
      <w:tr>
        <w:trPr>
          <w:tblHeader/>
        </w:trPr>
        <w:tc>
          <w:tcPr>
            <w:tcW w:type="dxa" w:w="17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Part</w:t>
            </w:r>
          </w:p>
        </w:tc>
        <w:tc>
          <w:tcPr>
            <w:tcW w:type="dxa" w:w="21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4 · Strong</w:t>
            </w:r>
          </w:p>
        </w:tc>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3 · Proficient</w:t>
            </w:r>
          </w:p>
        </w:tc>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2 · Developing</w:t>
            </w:r>
          </w:p>
        </w:tc>
        <w:tc>
          <w:tcPr>
            <w:tcW w:type="dxa" w:w="2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1 · Beginning</w:t>
            </w:r>
          </w:p>
        </w:tc>
      </w:tr>
      <w:tr>
        <w:tc>
          <w:tcPr>
            <w:tcW w:type="dxa" w:w="17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Claim</w:t>
            </w:r>
          </w:p>
        </w:tc>
        <w:tc>
          <w:tcPr>
            <w:tcW w:type="dxa" w:w="21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Precise, defensible</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General</w:t>
            </w:r>
          </w:p>
        </w:tc>
        <w:tc>
          <w:tcPr>
            <w:tcW w:type="dxa" w:w="2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Unclear / missing</w:t>
            </w:r>
          </w:p>
        </w:tc>
      </w:tr>
      <w:tr>
        <w:tc>
          <w:tcPr>
            <w:tcW w:type="dxa" w:w="17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Evidence</w:t>
            </w:r>
          </w:p>
        </w:tc>
        <w:tc>
          <w:tcPr>
            <w:tcW w:type="dxa" w:w="21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 accurate, specific</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 accurate</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 accurate</w:t>
            </w:r>
          </w:p>
        </w:tc>
        <w:tc>
          <w:tcPr>
            <w:tcW w:type="dxa" w:w="2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Missing / inaccurate</w:t>
            </w:r>
          </w:p>
        </w:tc>
      </w:tr>
      <w:tr>
        <w:tc>
          <w:tcPr>
            <w:tcW w:type="dxa" w:w="17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Reasoning</w:t>
            </w:r>
          </w:p>
        </w:tc>
        <w:tc>
          <w:tcPr>
            <w:tcW w:type="dxa" w:w="21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Explains HOW the evidence proves the claim</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Explains the link</w:t>
            </w:r>
          </w:p>
        </w:tc>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Partial link</w:t>
            </w:r>
          </w:p>
        </w:tc>
        <w:tc>
          <w:tcPr>
            <w:tcW w:type="dxa" w:w="2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THE WEB-APP CHECK — use the self-vs-app gap as a formative signal</w:t>
            </w:r>
          </w:p>
          <w:p>
            <w:pPr>
              <w:spacing w:after="40"/>
            </w:pPr>
            <w:r>
              <w:rPr>
                <w:rFonts w:ascii="Calibri" w:cs="Calibri" w:eastAsia="Calibri" w:hAnsi="Calibri"/>
                <w:b w:val="false"/>
                <w:bCs w:val="false"/>
                <w:i w:val="false"/>
                <w:iCs w:val="false"/>
                <w:color w:val="1A1A1A"/>
                <w:sz w:val="22"/>
                <w:szCs w:val="22"/>
              </w:rPr>
              <w:t xml:space="preserve">After self-scoring on paper, the student types the response into the History Hack app and gets instant, rubric-based feedback scored on this same 4-level grid.</w:t>
            </w:r>
          </w:p>
          <w:p>
            <w:pPr>
              <w:spacing w:after="40"/>
            </w:pPr>
            <w:r>
              <w:rPr>
                <w:rFonts w:ascii="Calibri" w:cs="Calibri" w:eastAsia="Calibri" w:hAnsi="Calibri"/>
                <w:b w:val="false"/>
                <w:bCs w:val="false"/>
                <w:i w:val="false"/>
                <w:iCs w:val="false"/>
                <w:color w:val="1A1A1A"/>
                <w:sz w:val="22"/>
                <w:szCs w:val="22"/>
              </w:rPr>
              <w:t xml:space="preserve">Coaching move: have students compare the app’s score to their own. A large over-rating gap (“I marked 4, the app said 2”) flags a student who can’t yet see the rubric criteria in their own writing — reteach the criterion, not just the content. Close agreement means the student can self-assess accurately; push them to the Extension.</w:t>
            </w:r>
          </w:p>
        </w:tc>
      </w:tr>
    </w:tbl>
    <w:p>
      <w:pPr>
        <w:pStyle w:val="Heading2"/>
        <w:keepNext/>
        <w:spacing w:after="90" w:before="150"/>
      </w:pPr>
      <w:r>
        <w:rPr>
          <w:rFonts w:ascii="Calibri" w:cs="Calibri" w:eastAsia="Calibri" w:hAnsi="Calibri"/>
          <w:b/>
          <w:bCs/>
          <w:i w:val="false"/>
          <w:iCs w:val="false"/>
          <w:color w:val="1B2A4A"/>
          <w:sz w:val="28"/>
          <w:szCs w:val="28"/>
        </w:rPr>
        <w:t xml:space="preserve">15b. Your 6-point scale (gradebook convention) + crosswalk</w:t>
      </w:r>
    </w:p>
    <w:p>
      <w:pPr>
        <w:spacing w:after="100"/>
      </w:pPr>
      <w:r>
        <w:rPr>
          <w:rFonts w:ascii="Calibri" w:cs="Calibri" w:eastAsia="Calibri" w:hAnsi="Calibri"/>
          <w:b w:val="false"/>
          <w:bCs w:val="false"/>
          <w:i w:val="false"/>
          <w:iCs w:val="false"/>
          <w:color w:val="1A1A1A"/>
          <w:sz w:val="22"/>
          <w:szCs w:val="22"/>
        </w:rPr>
        <w:t xml:space="preserve">Score holistically on the 6-point scale below (aligns with the DBQ/CER rubric bank). Use the crosswalk to reconcile a student’s /12 self-score with your 6-point mark.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48"/>
      </w:tblGrid>
      <w:tr>
        <w:trPr>
          <w:tblHeader/>
        </w:trPr>
        <w:tc>
          <w:tcPr>
            <w:tcW w:type="dxa" w:w="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Score</w:t>
            </w:r>
          </w:p>
        </w:tc>
        <w:tc>
          <w:tcPr>
            <w:tcW w:type="dxa" w:w="1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Level</w:t>
            </w:r>
          </w:p>
        </w:tc>
        <w:tc>
          <w:tcPr>
            <w:tcW w:type="dxa" w:w="71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 it looks like</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Exemplary</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Defensible, insightful claim; TWO or more precise, accurate pieces of evidence; reasoning fully explains HOW the evidence proves the claim; cohesive and sophisticated.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Advanced</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 claim; strong, accurate evidence; reasoning explains the link with only minor gaps.</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Proficient</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 claim; some specific evidence; reasoning present but general.</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Basic claim; limited or partly accurate evidence; reasoning thin.</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Vague claim; little evidence; evidence largely unexplained.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Beginning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clear claim; little or no evidence; no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Student self-score (total / 12)</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 Your 6-point band</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12</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 · Exemplary</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10–11</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 Advanced</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8–9</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 · Proficient</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6–7</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 · Adequate</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4–5</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 · Developing</w:t>
            </w:r>
          </w:p>
        </w:tc>
      </w:tr>
      <w:t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 · Beginning</w:t>
            </w:r>
          </w:p>
        </w:tc>
      </w:tr>
    </w:tbl>
    <w:p>
      <w:pPr>
        <w:spacing w:after="100"/>
      </w:pPr>
      <w:r>
        <w:rPr>
          <w:rFonts w:ascii="Calibri" w:cs="Calibri" w:eastAsia="Calibri" w:hAnsi="Calibri"/>
          <w:b w:val="false"/>
          <w:bCs w:val="false"/>
          <w:i/>
          <w:iCs/>
          <w:color w:val="6B7280"/>
          <w:sz w:val="18"/>
          <w:szCs w:val="18"/>
        </w:rPr>
        <w:t xml:space="preserve">Swap in your bank’s exact CER rubric text if it differs; the student 4-level grid and the 6-point scale (6 Exemplary → 1 Beginning) are the course convention, and the web app scores on the same 4-level grid.</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16. Exit Ticket Answer Keys + What’s Next (reteach)</w:t>
      </w:r>
    </w:p>
    <w:p>
      <w:pPr>
        <w:spacing w:after="100"/>
      </w:pPr>
      <w:r>
        <w:rPr>
          <w:rFonts w:ascii="Calibri" w:cs="Calibri" w:eastAsia="Calibri" w:hAnsi="Calibri"/>
          <w:b w:val="false"/>
          <w:bCs w:val="false"/>
          <w:i/>
          <w:iCs/>
          <w:color w:val="6B7280"/>
          <w:sz w:val="20"/>
          <w:szCs w:val="20"/>
        </w:rPr>
        <w:t xml:space="preserve">For teacher use only — keep separate from student copies. Each standard’s Exit Ticket (end of the standard, on the CER page) with its key and reteach routing. Items are pre-field-test.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5448"/>
      </w:tblGrid>
      <w:tr>
        <w:trPr>
          <w:tblHeader/>
        </w:trPr>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What’s Next if a student misses it</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us45-q1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Rise and Spread of Fascism, Communism, and Totalitarianism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us46-q1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FDR's Response to World Crises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us47-q3</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U.S. Response to the Holocaust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us48-q1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American Entry into World War II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us49-q2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WWII Leaders &amp; Key Figures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us50-q2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Major WWII Battles: Midway, Iwo Jima, Okinawa &amp; D-Day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us51-q1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Special Fighting Forces in WWII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us52-q1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Women in World War II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us53-q1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African Americans in WWII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us54-q1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Japanese American Internment &amp; Korematsu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us55-q1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Home Front Mobilization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us56-q1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Manhattan Project &amp; Atomic Bomb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us57-q1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Yalta and Potsdam Conferences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us58-q1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Founding of the United Nations &amp; Cordell Hull — reteach with the Cornell cues + Guided Support; re-check with the Progress Check.</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6B7280"/>
        <w:sz w:val="18"/>
        <w:szCs w:val="18"/>
      </w:rPr>
      <w:t xml:space="preserve">U.S. History Hack™ · Unit 6 Teacher Guide   © 2026 TroopToTeacher Technologies LLC   |   Page </w:t>
    </w:r>
    <w:r>
      <w:rPr>
        <w:rFonts w:ascii="Calibri" w:cs="Calibri" w:eastAsia="Calibri" w:hAnsi="Calibri"/>
        <w:b/>
        <w:bCs/>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8"/>
        <w:szCs w:val="18"/>
      </w:rPr>
      <w:t xml:space="preserve">U.S. History Hack™ · Unit 6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6 Teacher How-to-Use &amp; MTSS Guide (Pilot)</dc:title>
  <dc:creator>TroopToTeacher Technologies LLC</dc:creator>
  <cp:lastModifiedBy>Un-named</cp:lastModifiedBy>
  <cp:revision>1</cp:revision>
  <dcterms:created xsi:type="dcterms:W3CDTF">2026-08-03T00:22:13.275Z</dcterms:created>
  <dcterms:modified xsi:type="dcterms:W3CDTF">2026-08-03T00:22:13.275Z</dcterms:modified>
</cp:coreProperties>
</file>

<file path=docProps/custom.xml><?xml version="1.0" encoding="utf-8"?>
<Properties xmlns="http://schemas.openxmlformats.org/officeDocument/2006/custom-properties" xmlns:vt="http://schemas.openxmlformats.org/officeDocument/2006/docPropsVTypes"/>
</file>