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Jurisdiction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Appellate Jurisdiction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Nomination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Confirmation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Judicial Review</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Precedent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Judicial Activism</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Judicial Restraint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_gjh-n8c-nj9qrhsqn_qj.png"/><Relationship Id="rId9" Type="http://schemas.openxmlformats.org/officeDocument/2006/relationships/image" Target="media/ir4utgfranyx1x61lw74w.png"/><Relationship Id="rId10" Type="http://schemas.openxmlformats.org/officeDocument/2006/relationships/image" Target="media/bv_rqoptn00nbk-powuoq.png"/><Relationship Id="rId11" Type="http://schemas.openxmlformats.org/officeDocument/2006/relationships/image" Target="media/esjanppnqoujpqfdjeio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2026-07-31T03:03:36.814Z</dcterms:created>
  <dcterms:modified xsi:type="dcterms:W3CDTF">2026-07-31T03:03:36.814Z</dcterms:modified>
</cp:coreProperties>
</file>

<file path=docProps/custom.xml><?xml version="1.0" encoding="utf-8"?>
<Properties xmlns="http://schemas.openxmlformats.org/officeDocument/2006/custom-properties" xmlns:vt="http://schemas.openxmlformats.org/officeDocument/2006/docPropsVTypes"/>
</file>