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220"/>
        <w:jc w:val="center"/>
      </w:pPr>
      <w:r>
        <w:rPr>
          <w:b/>
          <w:bCs/>
          <w:i w:val="false"/>
          <w:iCs w:val="false"/>
          <w:color w:val="C89B3C"/>
          <w:sz w:val="20"/>
          <w:szCs w:val="20"/>
          <w:caps w:val="false"/>
          <w:rFonts w:ascii="Calibri" w:cs="Calibri" w:eastAsia="Calibri" w:hAnsi="Calibri"/>
        </w:rPr>
        <w:t xml:space="preserve">1791 · 1925 · 1954   •   UNITED STATES GOVERNMENT &amp; CIVICS (GC)   •   COURSE STANDARD EDITION</w:t>
      </w:r>
    </w:p>
    <w:p>
      <w:pPr>
        <w:spacing w:after="40"/>
        <w:jc w:val="center"/>
      </w:pPr>
      <w:r>
        <w:rPr>
          <w:b/>
          <w:bCs/>
          <w:i w:val="false"/>
          <w:iCs w:val="false"/>
          <w:color w:val="1B2A4A"/>
          <w:sz w:val="44"/>
          <w:szCs w:val="44"/>
          <w:caps w:val="false"/>
          <w:rFonts w:ascii="Calibri" w:cs="Calibri" w:eastAsia="Calibri" w:hAnsi="Calibri"/>
        </w:rPr>
        <w:t xml:space="preserve">GOVERNMENT HACK™</w:t>
      </w:r>
    </w:p>
    <w:p>
      <w:pPr>
        <w:spacing w:after="320"/>
        <w:jc w:val="center"/>
      </w:pPr>
      <w:r>
        <w:rPr>
          <w:b/>
          <w:bCs/>
          <w:i w:val="false"/>
          <w:iCs w:val="false"/>
          <w:color w:val="1B2A4A"/>
          <w:sz w:val="20"/>
          <w:szCs w:val="20"/>
          <w:caps w:val="false"/>
          <w:rFonts w:ascii="Calibri" w:cs="Calibri" w:eastAsia="Calibri" w:hAnsi="Calibri"/>
        </w:rPr>
        <w:t xml:space="preserve">TROOPTOTEACHER TECHNOLOGIES</w:t>
      </w:r>
    </w:p>
    <w:p>
      <w:pPr>
        <w:spacing w:after="60"/>
        <w:jc w:val="center"/>
      </w:pPr>
      <w:r>
        <w:rPr>
          <w:b/>
          <w:bCs/>
          <w:i w:val="false"/>
          <w:iCs w:val="false"/>
          <w:color w:val="B22234"/>
          <w:sz w:val="52"/>
          <w:szCs w:val="52"/>
          <w:caps w:val="false"/>
          <w:rFonts w:ascii="Calibri" w:cs="Calibri" w:eastAsia="Calibri" w:hAnsi="Calibri"/>
        </w:rPr>
        <w:t xml:space="preserve">UNIT 6</w:t>
      </w:r>
    </w:p>
    <w:p>
      <w:pPr>
        <w:spacing w:after="120"/>
        <w:jc w:val="center"/>
      </w:pPr>
      <w:r>
        <w:rPr>
          <w:b/>
          <w:bCs/>
          <w:i w:val="false"/>
          <w:iCs w:val="false"/>
          <w:color w:val="1B2A4A"/>
          <w:sz w:val="32"/>
          <w:szCs w:val="32"/>
          <w:caps w:val="false"/>
          <w:rFonts w:ascii="Calibri" w:cs="Calibri" w:eastAsia="Calibri" w:hAnsi="Calibri"/>
        </w:rPr>
        <w:t xml:space="preserve">Civil Liberties</w:t>
      </w:r>
    </w:p>
    <w:p>
      <w:pPr>
        <w:spacing w:after="60"/>
        <w:jc w:val="center"/>
      </w:pPr>
      <w:r>
        <w:rPr>
          <w:b/>
          <w:bCs/>
          <w:i w:val="false"/>
          <w:iCs w:val="false"/>
          <w:color w:val="1B2A4A"/>
          <w:sz w:val="26"/>
          <w:szCs w:val="26"/>
          <w:caps w:val="false"/>
          <w:rFonts w:ascii="Calibri" w:cs="Calibri" w:eastAsia="Calibri" w:hAnsi="Calibri"/>
        </w:rPr>
        <w:t xml:space="preserve">COURSE STANDARD EDITION</w:t>
      </w:r>
    </w:p>
    <w:p>
      <w:pPr>
        <w:spacing w:after="300"/>
        <w:jc w:val="center"/>
      </w:pPr>
      <w:r>
        <w:rPr>
          <w:b w:val="false"/>
          <w:bCs w:val="false"/>
          <w:i w:val="false"/>
          <w:iCs w:val="false"/>
          <w:color w:val="1A1A1A"/>
          <w:sz w:val="22"/>
          <w:szCs w:val="22"/>
          <w:caps w:val="false"/>
          <w:rFonts w:ascii="Calibri" w:cs="Calibri" w:eastAsia="Calibri" w:hAnsi="Calibri"/>
        </w:rPr>
        <w:t xml:space="preserve">GC.23–GC.27   •   Tennessee U.S. Government &amp; Civics Standards   •   Grades 9–12</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before="280" w:after="180"/>
        <w:jc w:val="center"/>
      </w:pPr>
      <w:r>
        <w:rPr>
          <w:b w:val="false"/>
          <w:bCs w:val="false"/>
          <w:i/>
          <w:iCs/>
          <w:color w:val="1B2A4A"/>
          <w:sz w:val="22"/>
          <w:szCs w:val="22"/>
          <w:caps w:val="false"/>
          <w:rFonts w:ascii="Calibri" w:cs="Calibri" w:eastAsia="Calibri" w:hAnsi="Calibri"/>
        </w:rPr>
        <w:t xml:space="preserve">One common workbook designed for learner variability. Every student works toward the same Tennessee standards; supports vary the means, not the goal or the ceiling.</w:t>
      </w:r>
    </w:p>
    <w:p>
      <w:pPr>
        <w:spacing w:after="40"/>
        <w:jc w:val="center"/>
      </w:pPr>
      <w:r>
        <w:rPr>
          <w:b/>
          <w:bCs/>
          <w:i w:val="false"/>
          <w:iCs w:val="false"/>
          <w:color w:val="1B2A4A"/>
          <w:sz w:val="22"/>
          <w:szCs w:val="22"/>
          <w:caps w:val="false"/>
          <w:rFonts w:ascii="Calibri" w:cs="Calibri" w:eastAsia="Calibri" w:hAnsi="Calibri"/>
        </w:rPr>
        <w:t xml:space="preserve">Release-Ready · Pilot Edition</w:t>
      </w:r>
    </w:p>
    <w:p>
      <w:pPr>
        <w:spacing w:after="100"/>
        <w:jc w:val="center"/>
      </w:pPr>
      <w:r>
        <w:rPr>
          <w:b w:val="false"/>
          <w:bCs w:val="false"/>
          <w:i w:val="false"/>
          <w:iCs w:val="false"/>
          <w:color w:val="6B7280"/>
          <w:sz w:val="18"/>
          <w:szCs w:val="18"/>
          <w:caps w:val="false"/>
          <w:rFonts w:ascii="Calibri" w:cs="Calibri" w:eastAsia="Calibri" w:hAnsi="Calibri"/>
        </w:rPr>
        <w:t xml:space="preserve">© 2026 TroopToTeacher Technologies LLC. All rights reserved.   ISBN: [to be assigned]</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Copyright, Ownership &amp; Framework</w:t>
      </w:r>
    </w:p>
    <w:p>
      <w:pPr>
        <w:spacing w:after="100"/>
      </w:pPr>
      <w:r>
        <w:rPr>
          <w:b/>
          <w:bCs/>
          <w:i w:val="false"/>
          <w:iCs w:val="false"/>
          <w:color w:val="1A1A1A"/>
          <w:sz w:val="22"/>
          <w:szCs w:val="22"/>
          <w:caps w:val="false"/>
          <w:rFonts w:ascii="Calibri" w:cs="Calibri" w:eastAsia="Calibri" w:hAnsi="Calibri"/>
        </w:rPr>
        <w:t xml:space="preserve">Government Hack™ — Unit 6: Civil Liberties, Course Standard Edition.</w:t>
      </w:r>
    </w:p>
    <w:p>
      <w:pPr>
        <w:spacing w:after="100"/>
      </w:pPr>
      <w:r>
        <w:rPr>
          <w:b w:val="false"/>
          <w:bCs w:val="false"/>
          <w:i w:val="false"/>
          <w:iCs w:val="false"/>
          <w:color w:val="1A1A1A"/>
          <w:sz w:val="22"/>
          <w:szCs w:val="22"/>
          <w:caps w:val="false"/>
          <w:rFonts w:ascii="Calibri" w:cs="Calibri" w:eastAsia="Calibri" w:hAnsi="Calibri"/>
        </w:rPr>
        <w:t xml:space="preserve">© 2026 TroopToTeacher Technologies LLC. All rights reserved. This workbook is proprietary; reproduction or redistribution outside a licensed classroom is prohibited.</w:t>
      </w:r>
    </w:p>
    <w:p>
      <w:pPr>
        <w:spacing w:after="100"/>
      </w:pPr>
      <w:r>
        <w:rPr>
          <w:b w:val="false"/>
          <w:bCs w:val="false"/>
          <w:i w:val="false"/>
          <w:iCs w:val="false"/>
          <w:color w:val="1A1A1A"/>
          <w:sz w:val="22"/>
          <w:szCs w:val="22"/>
          <w:caps w:val="false"/>
          <w:rFonts w:ascii="Calibri" w:cs="Calibri" w:eastAsia="Calibri" w:hAnsi="Calibri"/>
        </w:rPr>
        <w:t xml:space="preserve">Source integrity. Every primary source in this unit is public-domain and cited to its holding repository (National Archives, Library of Congress). See the Source Library.</w:t>
      </w:r>
    </w:p>
    <w:p>
      <w:pPr>
        <w:spacing w:after="100"/>
      </w:pPr>
      <w:r>
        <w:rPr>
          <w:b w:val="false"/>
          <w:bCs w:val="false"/>
          <w:i w:val="false"/>
          <w:iCs w:val="false"/>
          <w:color w:val="1A1A1A"/>
          <w:sz w:val="22"/>
          <w:szCs w:val="22"/>
          <w:caps w:val="false"/>
          <w:rFonts w:ascii="Calibri" w:cs="Calibri" w:eastAsia="Calibri" w:hAnsi="Calibri"/>
        </w:rPr>
        <w:t xml:space="preserve">Reading provenance (district-clear). Close-Read passages are labeled “Government Hack-authored instructional synthesis” — they build on the standard record and are not presented as primary sources.</w:t>
      </w:r>
    </w:p>
    <w:p>
      <w:pPr>
        <w:spacing w:after="100"/>
      </w:pPr>
      <w:r>
        <w:rPr>
          <w:b w:val="false"/>
          <w:bCs w:val="false"/>
          <w:i w:val="false"/>
          <w:iCs w:val="false"/>
          <w:color w:val="1A1A1A"/>
          <w:sz w:val="22"/>
          <w:szCs w:val="22"/>
          <w:caps w:val="false"/>
          <w:rFonts w:ascii="Calibri" w:cs="Calibri" w:eastAsia="Calibri" w:hAnsi="Calibri"/>
        </w:rPr>
        <w:t xml:space="preserve">Framework stack. This workbook anchors to Tennessee U.S. Government &amp; Civics standards GC.23–GC.27 and the Social Studies Practices (SSP.01–SSP.06), and is designed on CAST UDL 3.0 and an MTSS support model.</w:t>
      </w:r>
    </w:p>
    <w:p>
      <w:pPr>
        <w:spacing w:after="100"/>
      </w:pPr>
      <w:r>
        <w:rPr>
          <w:b/>
          <w:bCs/>
          <w:i w:val="false"/>
          <w:iCs w:val="false"/>
          <w:color w:val="1A1A1A"/>
          <w:sz w:val="22"/>
          <w:szCs w:val="22"/>
          <w:caps w:val="false"/>
          <w:rFonts w:ascii="Calibri" w:cs="Calibri" w:eastAsia="Calibri" w:hAnsi="Calibri"/>
        </w:rPr>
        <w:t xml:space="preserve">Pacing. </w:t>
      </w:r>
      <w:r>
        <w:rPr>
          <w:b w:val="false"/>
          <w:bCs w:val="false"/>
          <w:i w:val="false"/>
          <w:iCs w:val="false"/>
          <w:color w:val="1A1A1A"/>
          <w:sz w:val="22"/>
          <w:szCs w:val="22"/>
          <w:caps w:val="false"/>
          <w:rFonts w:ascii="Calibri" w:cs="Calibri" w:eastAsia="Calibri" w:hAnsi="Calibri"/>
        </w:rPr>
        <w:t xml:space="preserve">Each standard is built for </w:t>
      </w:r>
      <w:r>
        <w:rPr>
          <w:b/>
          <w:bCs/>
          <w:i w:val="false"/>
          <w:iCs w:val="false"/>
          <w:color w:val="1A1A1A"/>
          <w:sz w:val="22"/>
          <w:szCs w:val="22"/>
          <w:caps w:val="false"/>
          <w:rFonts w:ascii="Calibri" w:cs="Calibri" w:eastAsia="Calibri" w:hAnsi="Calibri"/>
        </w:rPr>
        <w:t xml:space="preserve">one 45-minute class period.</w:t>
      </w:r>
      <w:r>
        <w:rPr>
          <w:b w:val="false"/>
          <w:bCs w:val="false"/>
          <w:i w:val="false"/>
          <w:iCs w:val="false"/>
          <w:color w:val="1A1A1A"/>
          <w:sz w:val="22"/>
          <w:szCs w:val="22"/>
          <w:caps w:val="false"/>
          <w:rFonts w:ascii="Calibri" w:cs="Calibri" w:eastAsia="Calibri" w:hAnsi="Calibri"/>
        </w:rPr>
        <w:t xml:space="preserve"> Each activity shows a </w:t>
      </w:r>
      <w:r>
        <w:rPr>
          <w:b/>
          <w:bCs/>
          <w:i w:val="false"/>
          <w:iCs w:val="false"/>
          <w:color w:val="C89B3C"/>
          <w:sz w:val="22"/>
          <w:szCs w:val="22"/>
          <w:caps w:val="false"/>
          <w:rFonts w:ascii="Calibri" w:cs="Calibri" w:eastAsia="Calibri" w:hAnsi="Calibri"/>
        </w:rPr>
        <w:t xml:space="preserve">⏱ ~ minutes</w:t>
      </w:r>
      <w:r>
        <w:rPr>
          <w:b w:val="false"/>
          <w:bCs w:val="false"/>
          <w:i w:val="false"/>
          <w:iCs w:val="false"/>
          <w:color w:val="1A1A1A"/>
          <w:sz w:val="22"/>
          <w:szCs w:val="22"/>
          <w:caps w:val="false"/>
          <w:rFonts w:ascii="Calibri" w:cs="Calibri" w:eastAsia="Calibri" w:hAnsi="Calibri"/>
        </w:rPr>
        <w:t xml:space="preserve"> estimate at its heading. There is more here than one period holds — your teacher chooses which activities you do in class; the rest may become warm-ups, stations, or homework.</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Tennessee Standards &amp; SSP Crosswalk</w:t>
      </w:r>
    </w:p>
    <w:p>
      <w:pPr>
        <w:spacing w:after="100"/>
      </w:pPr>
      <w:r>
        <w:rPr>
          <w:b w:val="false"/>
          <w:bCs w:val="false"/>
          <w:i w:val="false"/>
          <w:iCs w:val="false"/>
          <w:color w:val="1A1A1A"/>
          <w:sz w:val="22"/>
          <w:szCs w:val="22"/>
          <w:caps w:val="false"/>
          <w:rFonts w:ascii="Calibri" w:cs="Calibri" w:eastAsia="Calibri" w:hAnsi="Calibri"/>
        </w:rPr>
        <w:t xml:space="preserve">Each standard below is taught to the full Course Standard expectation; the Social Studies Practices are embedded in every activity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522"/>
        <w:gridCol w:w="6240"/>
        <w:gridCol w:w="2030"/>
      </w:tblGrid>
      <w:tr>
        <w:trPr>
          <w:tblHeader/>
        </w:trPr>
        <w:tc>
          <w:tcPr>
            <w:tcW w:type="dxa" w:w="15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Standard</w:t>
            </w:r>
          </w:p>
        </w:tc>
        <w:tc>
          <w:tcPr>
            <w:tcW w:type="dxa" w:w="624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Focus</w:t>
            </w:r>
          </w:p>
        </w:tc>
        <w:tc>
          <w:tcPr>
            <w:tcW w:type="dxa" w:w="203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 Deck slides</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GC.23</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GC.24</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Second Amendment in Court</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GC.25</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of the Accused (4th–8th Amendments)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GC.26</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 Equal Protection &amp; Due Process</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r>
        <w:tc>
          <w:tcPr>
            <w:tcW w:type="dxa" w:w="15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GC.27</w:t>
            </w:r>
          </w:p>
        </w:tc>
        <w:tc>
          <w:tcPr>
            <w:tcW w:type="dxa" w:w="624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Rights for the Underserved</w:t>
            </w:r>
          </w:p>
        </w:tc>
        <w:tc>
          <w:tcPr>
            <w:tcW w:type="dxa" w:w="203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2–8</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Social Studies Practices (SSP.01–SSP.06)</w:t>
      </w:r>
    </w:p>
    <w:p>
      <w:pPr>
        <w:spacing w:after="100"/>
      </w:pPr>
      <w:r>
        <w:rPr>
          <w:b w:val="false"/>
          <w:bCs w:val="false"/>
          <w:i w:val="false"/>
          <w:iCs w:val="false"/>
          <w:color w:val="1A1A1A"/>
          <w:sz w:val="21"/>
          <w:szCs w:val="21"/>
          <w:caps w:val="false"/>
          <w:rFonts w:ascii="Calibri" w:cs="Calibri" w:eastAsia="Calibri" w:hAnsi="Calibri"/>
        </w:rPr>
        <w:t xml:space="preserve">SSP.01 Gather/evaluate sources · SSP.02 Critically examine a primary source · SSP.03 Synthesize evidence · SSP.04 Construct/communicate argument · SSP.05 Develop historical awareness · SSP.06 Chronological/spatial reasoning. Each Close Read, Primary Source/Data, and CER activity names the practices it builds.</w:t>
      </w:r>
    </w:p>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Accessibility, UDL &amp; Accommodations Matrix</w:t>
      </w:r>
    </w:p>
    <w:p>
      <w:pPr>
        <w:spacing w:after="100"/>
      </w:pPr>
      <w:r>
        <w:rPr>
          <w:b w:val="false"/>
          <w:bCs w:val="false"/>
          <w:i w:val="false"/>
          <w:iCs w:val="false"/>
          <w:color w:val="1A1A1A"/>
          <w:sz w:val="22"/>
          <w:szCs w:val="22"/>
          <w:caps w:val="false"/>
          <w:rFonts w:ascii="Calibri" w:cs="Calibri" w:eastAsia="Calibri" w:hAnsi="Calibri"/>
        </w:rPr>
        <w:t xml:space="preserve">One firm learning goal per standard; flexible, universal means. Supports are available by design and never lower the goal. They work alongside — never in place of — required IEP or 504 accommodations.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436"/>
        <w:gridCol w:w="4514"/>
        <w:gridCol w:w="2842"/>
      </w:tblGrid>
      <w:tr>
        <w:trPr>
          <w:tblHeader/>
        </w:trPr>
        <w:tc>
          <w:tcPr>
            <w:tcW w:type="dxa" w:w="243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Universal support</w:t>
            </w:r>
          </w:p>
        </w:tc>
        <w:tc>
          <w:tcPr>
            <w:tcW w:type="dxa" w:w="451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is</w:t>
            </w:r>
          </w:p>
        </w:tc>
        <w:tc>
          <w:tcPr>
            <w:tcW w:type="dxa" w:w="284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Where it appears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Essential instruction every student completes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Spanish cognates</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Word Bank, Guided/Light Backs</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Write, say/record, or diagram</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Every activity</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Optional scaffold that keeps the goal</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Guided Support Back, Primary Source</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Quick DOK-2/3 check to guide reteach/extend</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Cornell Notes, Practice Quiz</w:t>
            </w:r>
          </w:p>
        </w:tc>
      </w:tr>
      <w:tr>
        <w:tc>
          <w:tcPr>
            <w:tcW w:type="dxa" w:w="243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451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Deeper challenge once the goal is met</w:t>
            </w:r>
          </w:p>
        </w:tc>
        <w:tc>
          <w:tcPr>
            <w:tcW w:type="dxa" w:w="284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 Bank, CER</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How CAST UDL 3.0 is visible in this workbook</w:t>
      </w:r>
    </w:p>
    <w:p>
      <w:pPr>
        <w:spacing w:after="100"/>
      </w:pPr>
      <w:r>
        <w:rPr>
          <w:b w:val="false"/>
          <w:bCs w:val="false"/>
          <w:i w:val="false"/>
          <w:iCs w:val="false"/>
          <w:color w:val="1A1A1A"/>
          <w:sz w:val="21"/>
          <w:szCs w:val="21"/>
          <w:caps w:val="false"/>
          <w:rFonts w:ascii="Calibri" w:cs="Calibri" w:eastAsia="Calibri" w:hAnsi="Calibri"/>
        </w:rPr>
        <w:t xml:space="preserve">Multiple means of Engagement (response choice, relevance via Tennessee Connection), Representation (Word Bank, pronunciation, Spanish, Close-Read supports), and Action &amp; Expression (write/say/diagram, Frayer, CER). No fixed-track labels appear.</w:t>
      </w:r>
    </w:p>
    <w:p>
      <w:pPr>
        <w:pStyle w:val="Heading2"/>
        <w:keepNext/>
        <w:spacing w:before="150" w:after="90"/>
      </w:pPr>
      <w:r>
        <w:rPr>
          <w:b/>
          <w:bCs/>
          <w:i w:val="false"/>
          <w:iCs w:val="false"/>
          <w:color w:val="1B2A4A"/>
          <w:sz w:val="28"/>
          <w:szCs w:val="28"/>
          <w:caps w:val="false"/>
          <w:rFonts w:ascii="Calibri" w:cs="Calibri" w:eastAsia="Calibri" w:hAnsi="Calibri"/>
        </w:rPr>
        <w:t xml:space="preserve">My Support Plan (optional — you choose)</w:t>
      </w:r>
    </w:p>
    <w:p>
      <w:pPr>
        <w:spacing w:after="100"/>
      </w:pPr>
      <w:r>
        <w:rPr>
          <w:b w:val="false"/>
          <w:bCs w:val="false"/>
          <w:i w:val="false"/>
          <w:iCs w:val="false"/>
          <w:color w:val="1A1A1A"/>
          <w:sz w:val="22"/>
          <w:szCs w:val="22"/>
          <w:caps w:val="false"/>
          <w:rFonts w:ascii="Calibri" w:cs="Calibri" w:eastAsia="Calibri" w:hAnsi="Calibri"/>
        </w:rPr>
        <w:t xml:space="preserve">Supports are available by design. Check the ones you might try; you can change your mind any time.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Support I might use</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When it would help me</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Word Bank + Spanish column</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Guided or Light Support Back</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Response choice (say/record or diagram)</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Sentence frames / Rehearsal Lab</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spacing w:before="220" w:after="90"/>
      </w:pPr>
      <w:r>
        <w:rPr>
          <w:b/>
          <w:bCs/>
          <w:i w:val="false"/>
          <w:iCs w:val="false"/>
          <w:color w:val="1B2A4A"/>
          <w:sz w:val="36"/>
          <w:szCs w:val="36"/>
          <w:caps w:val="false"/>
          <w:rFonts w:ascii="Calibri" w:cs="Calibri" w:eastAsia="Calibri" w:hAnsi="Calibri"/>
        </w:rPr>
        <w:t xml:space="preserve">How to Use This Workbook</w:t>
      </w:r>
    </w:p>
    <w:p>
      <w:pPr>
        <w:spacing w:after="100"/>
      </w:pPr>
      <w:r>
        <w:rPr>
          <w:b w:val="false"/>
          <w:bCs w:val="false"/>
          <w:i w:val="false"/>
          <w:iCs w:val="false"/>
          <w:color w:val="1A1A1A"/>
          <w:sz w:val="22"/>
          <w:szCs w:val="22"/>
          <w:caps w:val="false"/>
          <w:rFonts w:ascii="Calibri" w:cs="Calibri" w:eastAsia="Calibri" w:hAnsi="Calibri"/>
        </w:rPr>
        <w:t xml:space="preserve">Each standard runs the same seven-activity cycle: (1) Vocabulary Word Bank, (2) Vocabulary Studio, (3) Direct-Teaching Cornell Notes with optional Guided and Light Support Backs, (4) Close Read, (5) Primary Source / Data Analysis, (6) Core Application Practice Quiz, (7) Constructed Response (CER). Work the CORE PATH; reach for SUPPORT OPTIONS as needed.</w:t>
      </w:r>
    </w:p>
    <w:p>
      <w:pPr>
        <w:pStyle w:val="Heading2"/>
        <w:keepNext/>
        <w:spacing w:before="150" w:after="90"/>
      </w:pPr>
      <w:r>
        <w:rPr>
          <w:b/>
          <w:bCs/>
          <w:i w:val="false"/>
          <w:iCs w:val="false"/>
          <w:color w:val="1B2A4A"/>
          <w:sz w:val="28"/>
          <w:szCs w:val="28"/>
          <w:caps w:val="false"/>
          <w:rFonts w:ascii="Calibri" w:cs="Calibri" w:eastAsia="Calibri" w:hAnsi="Calibri"/>
        </w:rPr>
        <w:t xml:space="preserve">Label legend — these appear throughout every standard cycle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Label</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Meaning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CORE PATH</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essential instruction every student completes.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SUPPORT OPTION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optional scaffold that keeps the goal, not lowers it.</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LANGUAGE SUPPORT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Vocabulary, pronunciation, and Spanish cognates for access.</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RESPONSE CHOICE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Show learning by writing, saying/recording, or diagramming.</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PROGRESS CHECK</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quick DOK-2/3 check that guides reteach or extend.</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EXTENSION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deeper challenge once the goal is met.</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Before You Begin — Set a S.M.A.R.T. Goal</w:t>
      </w:r>
    </w:p>
    <w:p>
      <w:pPr>
        <w:spacing w:after="100"/>
      </w:pPr>
      <w:r>
        <w:rPr>
          <w:b w:val="false"/>
          <w:bCs w:val="false"/>
          <w:i w:val="false"/>
          <w:iCs w:val="false"/>
          <w:color w:val="1A1A1A"/>
          <w:sz w:val="22"/>
          <w:szCs w:val="22"/>
          <w:caps w:val="false"/>
          <w:rFonts w:ascii="Calibri" w:cs="Calibri" w:eastAsia="Calibri" w:hAnsi="Calibri"/>
        </w:rPr>
        <w:t xml:space="preserve">Strong learners set goals — but a goal only helps if it is built well. First learn how, then write yours.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MAKES A GOAL STRONG? Build it S.M.A.R.T.</w:t>
            </w:r>
          </w:p>
          <w:p>
            <w:pPr>
              <w:spacing w:after="40"/>
            </w:pPr>
            <w:r>
              <w:rPr>
                <w:b w:val="false"/>
                <w:bCs w:val="false"/>
                <w:i w:val="false"/>
                <w:iCs w:val="false"/>
                <w:color w:val="1A1A1A"/>
                <w:sz w:val="20"/>
                <w:szCs w:val="20"/>
                <w:caps w:val="false"/>
                <w:rFonts w:ascii="Calibri" w:cs="Calibri" w:eastAsia="Calibri" w:hAnsi="Calibri"/>
              </w:rPr>
              <w:t xml:space="preserve">S — Specific: say exactly what you will be able to do (“explain how a bill becomes law,” not “do well”).</w:t>
            </w:r>
          </w:p>
          <w:p>
            <w:pPr>
              <w:spacing w:after="40"/>
            </w:pPr>
            <w:r>
              <w:rPr>
                <w:b w:val="false"/>
                <w:bCs w:val="false"/>
                <w:i w:val="false"/>
                <w:iCs w:val="false"/>
                <w:color w:val="1A1A1A"/>
                <w:sz w:val="20"/>
                <w:szCs w:val="20"/>
                <w:caps w:val="false"/>
                <w:rFonts w:ascii="Calibri" w:cs="Calibri" w:eastAsia="Calibri" w:hAnsi="Calibri"/>
              </w:rPr>
              <w:t xml:space="preserve">M — Measurable: how will you PROVE it? — a score, a diagram, or teaching a partner.</w:t>
            </w:r>
          </w:p>
          <w:p>
            <w:pPr>
              <w:spacing w:after="40"/>
            </w:pPr>
            <w:r>
              <w:rPr>
                <w:b w:val="false"/>
                <w:bCs w:val="false"/>
                <w:i w:val="false"/>
                <w:iCs w:val="false"/>
                <w:color w:val="1A1A1A"/>
                <w:sz w:val="20"/>
                <w:szCs w:val="20"/>
                <w:caps w:val="false"/>
                <w:rFonts w:ascii="Calibri" w:cs="Calibri" w:eastAsia="Calibri" w:hAnsi="Calibri"/>
              </w:rPr>
              <w:t xml:space="preserve">A — Achievable: a real stretch you can reach with effort — not too easy, not impossible.</w:t>
            </w:r>
          </w:p>
          <w:p>
            <w:pPr>
              <w:spacing w:after="40"/>
            </w:pPr>
            <w:r>
              <w:rPr>
                <w:b w:val="false"/>
                <w:bCs w:val="false"/>
                <w:i w:val="false"/>
                <w:iCs w:val="false"/>
                <w:color w:val="1A1A1A"/>
                <w:sz w:val="20"/>
                <w:szCs w:val="20"/>
                <w:caps w:val="false"/>
                <w:rFonts w:ascii="Calibri" w:cs="Calibri" w:eastAsia="Calibri" w:hAnsi="Calibri"/>
              </w:rPr>
              <w:t xml:space="preserve">R — Relevant: it connects to this unit’s big question.</w:t>
            </w:r>
          </w:p>
          <w:p>
            <w:pPr>
              <w:spacing w:after="40"/>
            </w:pPr>
            <w:r>
              <w:rPr>
                <w:b w:val="false"/>
                <w:bCs w:val="false"/>
                <w:i w:val="false"/>
                <w:iCs w:val="false"/>
                <w:color w:val="1A1A1A"/>
                <w:sz w:val="20"/>
                <w:szCs w:val="20"/>
                <w:caps w:val="false"/>
                <w:rFonts w:ascii="Calibri" w:cs="Calibri" w:eastAsia="Calibri" w:hAnsi="Calibri"/>
              </w:rPr>
              <w:t xml:space="preserve">T — Time-bound: name WHEN — “by the end of this unit.”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SEE THE DIFFERENCE</w:t>
            </w:r>
          </w:p>
          <w:p>
            <w:pPr>
              <w:spacing w:after="40"/>
            </w:pPr>
            <w:r>
              <w:rPr>
                <w:b w:val="false"/>
                <w:bCs w:val="false"/>
                <w:i w:val="false"/>
                <w:iCs w:val="false"/>
                <w:color w:val="1A1A1A"/>
                <w:sz w:val="20"/>
                <w:szCs w:val="20"/>
                <w:caps w:val="false"/>
                <w:rFonts w:ascii="Calibri" w:cs="Calibri" w:eastAsia="Calibri" w:hAnsi="Calibri"/>
              </w:rPr>
              <w:t xml:space="preserve">Weak:  “I want to do good in government.”  (vague — nothing to measure)</w:t>
            </w:r>
          </w:p>
          <w:p>
            <w:pPr>
              <w:spacing w:after="40"/>
            </w:pPr>
            <w:r>
              <w:rPr>
                <w:b/>
                <w:bCs/>
                <w:i w:val="false"/>
                <w:iCs w:val="false"/>
                <w:color w:val="1A1A1A"/>
                <w:sz w:val="20"/>
                <w:szCs w:val="20"/>
                <w:caps w:val="false"/>
                <w:rFonts w:ascii="Calibri" w:cs="Calibri" w:eastAsia="Calibri" w:hAnsi="Calibri"/>
              </w:rPr>
              <w:t xml:space="preserve">S.M.A.R.T.:  “By the end of this unit I can explain how the three branches check each other, and prove it by teaching a partner and scoring 80%+ on the check.”</w:t>
            </w:r>
          </w:p>
        </w:tc>
      </w:tr>
    </w:tbl>
    <w:p>
      <w:pPr>
        <w:spacing w:after="100"/>
      </w:pPr>
      <w:r>
        <w:rPr>
          <w:b w:val="false"/>
          <w:bCs w:val="false"/>
          <w:i/>
          <w:iCs/>
          <w:color w:val="6B7280"/>
          <w:sz w:val="20"/>
          <w:szCs w:val="20"/>
          <w:caps w:val="false"/>
          <w:rFonts w:ascii="Calibri" w:cs="Calibri" w:eastAsia="Calibri" w:hAnsi="Calibri"/>
        </w:rPr>
        <w:t xml:space="preserve">This unit’s big question: How do the courts decide where your rights end and the government's power begins?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BUILD YOURS — write each piece on the lines, then combine them at the bottom</w:t>
            </w:r>
          </w:p>
          <w:p>
            <w:pPr>
              <w:spacing w:after="40"/>
            </w:pPr>
            <w:r>
              <w:rPr>
                <w:b w:val="false"/>
                <w:bCs w:val="false"/>
                <w:i w:val="false"/>
                <w:iCs w:val="false"/>
                <w:color w:val="1A1A1A"/>
                <w:sz w:val="22"/>
                <w:szCs w:val="22"/>
                <w:caps w:val="false"/>
                <w:rFonts w:ascii="Calibri" w:cs="Calibri" w:eastAsia="Calibri" w:hAnsi="Calibri"/>
              </w:rPr>
              <w:t xml:space="preserve">Fill in each part of your goal. Use the lines.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900"/>
        <w:gridCol w:w="5892"/>
      </w:tblGrid>
      <w:tr>
        <w:trPr>
          <w:tblHeader/>
        </w:trPr>
        <w:tc>
          <w:tcPr>
            <w:tcW w:type="dxa" w:w="3900"/>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 of my goal</w:t>
            </w:r>
          </w:p>
        </w:tc>
        <w:tc>
          <w:tcPr>
            <w:tcW w:type="dxa" w:w="58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your piece on the lines</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 — Specific: what exactly will I be able to do?</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 — Measurable: how will I prove it? (a score, a diagram, teaching a partner)</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 Achievable: what effort will it take to reach it?</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 — Relevant: how does it connect to the big question above?</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9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 — Time-bound: by when?</w:t>
            </w:r>
          </w:p>
        </w:tc>
        <w:tc>
          <w:tcPr>
            <w:tcW w:type="dxa" w:w="58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PUT IT TOGETHER — my S.M.A.R.T. goal in one or two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r>
        <w:br w:type="page"/>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GC.23 — The First Amendment in Court</w:t>
      </w:r>
    </w:p>
    <w:p>
      <w:pPr>
        <w:spacing w:after="60"/>
      </w:pPr>
      <w:r>
        <w:rPr>
          <w:b/>
          <w:bCs/>
          <w:i w:val="false"/>
          <w:iCs w:val="false"/>
          <w:color w:val="1A1A1A"/>
          <w:sz w:val="22"/>
          <w:szCs w:val="22"/>
          <w:caps w:val="false"/>
          <w:rFonts w:ascii="Calibri" w:cs="Calibri" w:eastAsia="Calibri" w:hAnsi="Calibri"/>
        </w:rPr>
        <w:t xml:space="preserve">TN Academic Standard GC.23: </w:t>
      </w:r>
      <w:r>
        <w:rPr>
          <w:b w:val="false"/>
          <w:bCs w:val="false"/>
          <w:i w:val="false"/>
          <w:iCs w:val="false"/>
          <w:color w:val="1A1A1A"/>
          <w:sz w:val="22"/>
          <w:szCs w:val="22"/>
          <w:caps w:val="false"/>
          <w:rFonts w:ascii="Calibri" w:cs="Calibri" w:eastAsia="Calibri" w:hAnsi="Calibri"/>
        </w:rPr>
        <w:t xml:space="preserve">Evaluate the Supreme Court's interpretations of the freedoms articulated in the 1st Amendment, including: Schenck v. United States; Engel v. Vitale; Tinker v. Des Moines; Lemon v. Kurtzman; New York Times v. United States; Miller v. California; Texas v. Johnson.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First Amendment freedoms..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silent armband, a burning flag, a banned book, a school prayer — the same 45 words protect or limit each one. Where does your freedom to express end?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GC.23</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peligro claro y presente</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establecimiento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expresión simbólica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Clear and Present Danger (kleer and PREZ-ent DAYN-jer); Establishment Clause (es-TAB-lish-ment); Symbolic Speech (sim-BOL-ik).</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Clear and Present Danger</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Establishment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Symbolic Speech</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GC.23</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Symbolic Speech</w:t>
            </w:r>
            <w:r>
              <w:rPr>
                <w:b w:val="false"/>
                <w:bCs w:val="false"/>
                <w:i w:val="false"/>
                <w:iCs w:val="false"/>
                <w:color w:val="D9D5C8"/>
                <w:sz w:val="18"/>
                <w:szCs w:val="18"/>
                <w:caps w:val="false"/>
                <w:rFonts w:ascii="Calibri" w:cs="Calibri" w:eastAsia="Calibri" w:hAnsi="Calibri"/>
              </w:rPr>
              <w:t xml:space="preserve">      ·   ES: expresión simbólica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“Symbolic Speech”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Establishment Clause</w:t>
            </w:r>
            <w:r>
              <w:rPr>
                <w:b w:val="false"/>
                <w:bCs w:val="false"/>
                <w:i w:val="false"/>
                <w:iCs w:val="false"/>
                <w:color w:val="D9D5C8"/>
                <w:sz w:val="18"/>
                <w:szCs w:val="18"/>
                <w:caps w:val="false"/>
                <w:rFonts w:ascii="Calibri" w:cs="Calibri" w:eastAsia="Calibri" w:hAnsi="Calibri"/>
              </w:rPr>
              <w:t xml:space="preserve">      ·   ES: cláusula de establecimiento</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“Establishment Clause”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Symbolic Speech</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Establishment Clause</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GC.23</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GC.23 — The First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Clear and Present Danger · Establishment Clause · Symbolic Speech</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the Supreme Court decide in Tinker v. Des Moines (1969)?</w:t>
            </w:r>
          </w:p>
          <w:p>
            <w:pPr>
              <w:spacing w:after="30"/>
              <w:ind w:left="360"/>
            </w:pPr>
            <w:r>
              <w:rPr>
                <w:b w:val="false"/>
                <w:bCs w:val="false"/>
                <w:i w:val="false"/>
                <w:iCs w:val="false"/>
                <w:color w:val="1A1A1A"/>
                <w:sz w:val="21"/>
                <w:szCs w:val="21"/>
                <w:caps w:val="false"/>
                <w:rFonts w:ascii="Calibri" w:cs="Calibri" w:eastAsia="Calibri" w:hAnsi="Calibri"/>
              </w:rPr>
              <w:t xml:space="preserve">A.   Schools may ban any student speech they dislike</w:t>
            </w:r>
          </w:p>
          <w:p>
            <w:pPr>
              <w:spacing w:after="30"/>
              <w:ind w:left="360"/>
            </w:pPr>
            <w:r>
              <w:rPr>
                <w:b w:val="false"/>
                <w:bCs w:val="false"/>
                <w:i w:val="false"/>
                <w:iCs w:val="false"/>
                <w:color w:val="1A1A1A"/>
                <w:sz w:val="21"/>
                <w:szCs w:val="21"/>
                <w:caps w:val="false"/>
                <w:rFonts w:ascii="Calibri" w:cs="Calibri" w:eastAsia="Calibri" w:hAnsi="Calibri"/>
              </w:rPr>
              <w:t xml:space="preserve">B.   Students keep their free-speech rights at school, unless the speech substantially disrupts</w:t>
            </w:r>
          </w:p>
          <w:p>
            <w:pPr>
              <w:spacing w:after="30"/>
              <w:ind w:left="360"/>
            </w:pPr>
            <w:r>
              <w:rPr>
                <w:b w:val="false"/>
                <w:bCs w:val="false"/>
                <w:i w:val="false"/>
                <w:iCs w:val="false"/>
                <w:color w:val="1A1A1A"/>
                <w:sz w:val="21"/>
                <w:szCs w:val="21"/>
                <w:caps w:val="false"/>
                <w:rFonts w:ascii="Calibri" w:cs="Calibri" w:eastAsia="Calibri" w:hAnsi="Calibri"/>
              </w:rPr>
              <w:t xml:space="preserve">C.   The First Amendment does not apply to students</w:t>
            </w:r>
          </w:p>
          <w:p>
            <w:pPr>
              <w:spacing w:after="30"/>
              <w:ind w:left="360"/>
            </w:pPr>
            <w:r>
              <w:rPr>
                <w:b w:val="false"/>
                <w:bCs w:val="false"/>
                <w:i w:val="false"/>
                <w:iCs w:val="false"/>
                <w:color w:val="1A1A1A"/>
                <w:sz w:val="21"/>
                <w:szCs w:val="21"/>
                <w:caps w:val="false"/>
                <w:rFonts w:ascii="Calibri" w:cs="Calibri" w:eastAsia="Calibri" w:hAnsi="Calibri"/>
              </w:rPr>
              <w:t xml:space="preserve">D.   Only teachers, not students, have free-speech rights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GC.23</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test from Schenck v. United States (1919) allowing limits on speech that creates a real, immediate danger — such as falsely shouting fire in a crowded theater.</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First Amendment ban on the government establishing or favoring a religion, central to Engel v. Vitale and Lemon v. Kurtzman.</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Actions that express an idea — like wearing an armband (Tinker) or burning a flag (Texas v. Johnson) — that the First Amendment can protect.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first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first amendment in court was Clear and Present Danger: The test from Schenck v. United States (1919) allowing limits on speech that creates a real, immediate danger — such as falsely shouting fire in a crowded theater.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GC.23</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Clear and Present Danger</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Establishment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Symbolic Speech</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 How can burning a flag (Texas v. Johnson) be protected 'speech'?</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First Amendment protects speech, press, religion, assembly, and petition — but not without limits, and the Supreme Court draws the lines case by case. On speech, Schenck v. United States (1919) allowed limits on words that create a 'clear and present danger,' while Tinker v. Des Moines (1969) protected students' symbolic speech, ruling they do not 'shed their constitutional rights… at the schoolhouse gate,' and Texas v. Johnson (1989) protected even flag burning as symbolic speech. On religion, Engel v. Vitale (1962) barred official school prayer and Lemon v. Kurtzman (1971) set a test for church–state separation, both under the Establishment Clause. On press, New York Times v. United States (1971) blocked the government from stopping publication of the Pentagon Papers (no 'prior restraint'), and Miller v. California (1973) defined the narrow limits of obscenity. Together these cases show a Court constantly balancing individual liberty against government interest.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Clear and Present Danger, Establishment Clause.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According to Tinker, do students have free-speech rights at school? What is the limit?</w:t>
      </w:r>
    </w:p>
    <w:p>
      <w:pPr>
        <w:spacing w:after="100"/>
      </w:pPr>
      <w:r>
        <w:rPr>
          <w:b w:val="false"/>
          <w:bCs w:val="false"/>
          <w:i w:val="false"/>
          <w:iCs w:val="false"/>
          <w:color w:val="1A1A1A"/>
          <w:sz w:val="20"/>
          <w:szCs w:val="20"/>
          <w:caps w:val="false"/>
          <w:rFonts w:ascii="Calibri" w:cs="Calibri" w:eastAsia="Calibri" w:hAnsi="Calibri"/>
        </w:rPr>
        <w:t xml:space="preserve">2. How do Engel v. Vitale and Lemon v. Kurtzman apply the Establishment Clause?</w:t>
      </w:r>
    </w:p>
    <w:p>
      <w:pPr>
        <w:spacing w:after="100"/>
      </w:pPr>
      <w:r>
        <w:rPr>
          <w:b w:val="false"/>
          <w:bCs w:val="false"/>
          <w:i w:val="false"/>
          <w:iCs w:val="false"/>
          <w:color w:val="1A1A1A"/>
          <w:sz w:val="20"/>
          <w:szCs w:val="20"/>
          <w:caps w:val="false"/>
          <w:rFonts w:ascii="Calibri" w:cs="Calibri" w:eastAsia="Calibri" w:hAnsi="Calibri"/>
        </w:rPr>
        <w:t xml:space="preserve">3. How can burning a flag (Texas v. Johnson) be protected 'speech'?</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GC.23</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Bill of Rights (First Amendment detail)" descr="Document: Bill of Rights (First Amendment detail) (1st U.S. Congress (NARA), 1789)." title="Bill of Rights (First Amend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Bill of Rights (First Amendment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https://commons.wikimedia.org/wiki/File:Bill_of_Rights_Pg1of1_AC.jpg Public domain — U.S. gov document; NARA scan https://commons.wikimedia.org/wiki/File:Bill_of_Rights_Pg1of1_AC.jpg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GC.23</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u6-gc23-dok1-1 · pre-field-test]</w:t>
      </w:r>
    </w:p>
    <w:p>
      <w:pPr>
        <w:spacing w:after="100"/>
      </w:pPr>
      <w:r>
        <w:rPr>
          <w:b/>
          <w:bCs/>
          <w:i w:val="false"/>
          <w:iCs w:val="false"/>
          <w:color w:val="1A1A1A"/>
          <w:sz w:val="21"/>
          <w:szCs w:val="21"/>
          <w:caps w:val="false"/>
          <w:rFonts w:ascii="Calibri" w:cs="Calibri" w:eastAsia="Calibri" w:hAnsi="Calibri"/>
        </w:rPr>
        <w:t xml:space="preserve">The 'clear and present danger' test comes from which case?</w:t>
      </w:r>
    </w:p>
    <w:p>
      <w:pPr>
        <w:spacing w:after="20"/>
        <w:ind w:left="260"/>
      </w:pPr>
      <w:r>
        <w:rPr>
          <w:b w:val="false"/>
          <w:bCs w:val="false"/>
          <w:i w:val="false"/>
          <w:iCs w:val="false"/>
          <w:color w:val="1A1A1A"/>
          <w:sz w:val="20"/>
          <w:szCs w:val="20"/>
          <w:caps w:val="false"/>
          <w:rFonts w:ascii="Calibri" w:cs="Calibri" w:eastAsia="Calibri" w:hAnsi="Calibri"/>
        </w:rPr>
        <w:t xml:space="preserve">A. Tinker v. Des Moines</w:t>
      </w:r>
    </w:p>
    <w:p>
      <w:pPr>
        <w:spacing w:after="20"/>
        <w:ind w:left="260"/>
      </w:pPr>
      <w:r>
        <w:rPr>
          <w:b w:val="false"/>
          <w:bCs w:val="false"/>
          <w:i w:val="false"/>
          <w:iCs w:val="false"/>
          <w:color w:val="1A1A1A"/>
          <w:sz w:val="20"/>
          <w:szCs w:val="20"/>
          <w:caps w:val="false"/>
          <w:rFonts w:ascii="Calibri" w:cs="Calibri" w:eastAsia="Calibri" w:hAnsi="Calibri"/>
        </w:rPr>
        <w:t xml:space="preserve">B. Schenck v. United States</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Texas v. Johnson</w:t>
      </w:r>
    </w:p>
    <w:p>
      <w:pPr>
        <w:spacing w:after="100"/>
      </w:pPr>
      <w:r>
        <w:rPr>
          <w:b/>
          <w:bCs/>
          <w:i w:val="false"/>
          <w:iCs w:val="false"/>
          <w:color w:val="6B7280"/>
          <w:sz w:val="18"/>
          <w:szCs w:val="18"/>
          <w:caps w:val="false"/>
          <w:rFonts w:ascii="Calibri" w:cs="Calibri" w:eastAsia="Calibri" w:hAnsi="Calibri"/>
        </w:rPr>
        <w:t xml:space="preserve">[DOK 3 · item u1-gc23-dok3-tc · pre-field-test]</w:t>
      </w:r>
    </w:p>
    <w:p>
      <w:pPr>
        <w:spacing w:after="100"/>
      </w:pPr>
      <w:r>
        <w:rPr>
          <w:b/>
          <w:bCs/>
          <w:i w:val="false"/>
          <w:iCs w:val="false"/>
          <w:color w:val="1A1A1A"/>
          <w:sz w:val="21"/>
          <w:szCs w:val="21"/>
          <w:caps w:val="false"/>
          <w:rFonts w:ascii="Calibri" w:cs="Calibri" w:eastAsia="Calibri" w:hAnsi="Calibri"/>
        </w:rPr>
        <w:t xml:space="preserve">What did the Supreme Court decide in Tinker v. Des Moines (1969)?</w:t>
      </w:r>
    </w:p>
    <w:p>
      <w:pPr>
        <w:spacing w:after="20"/>
        <w:ind w:left="260"/>
      </w:pPr>
      <w:r>
        <w:rPr>
          <w:b w:val="false"/>
          <w:bCs w:val="false"/>
          <w:i w:val="false"/>
          <w:iCs w:val="false"/>
          <w:color w:val="1A1A1A"/>
          <w:sz w:val="20"/>
          <w:szCs w:val="20"/>
          <w:caps w:val="false"/>
          <w:rFonts w:ascii="Calibri" w:cs="Calibri" w:eastAsia="Calibri" w:hAnsi="Calibri"/>
        </w:rPr>
        <w:t xml:space="preserve">A. Schools may ban any student speech they dislike</w:t>
      </w:r>
    </w:p>
    <w:p>
      <w:pPr>
        <w:spacing w:after="20"/>
        <w:ind w:left="260"/>
      </w:pPr>
      <w:r>
        <w:rPr>
          <w:b w:val="false"/>
          <w:bCs w:val="false"/>
          <w:i w:val="false"/>
          <w:iCs w:val="false"/>
          <w:color w:val="1A1A1A"/>
          <w:sz w:val="20"/>
          <w:szCs w:val="20"/>
          <w:caps w:val="false"/>
          <w:rFonts w:ascii="Calibri" w:cs="Calibri" w:eastAsia="Calibri" w:hAnsi="Calibri"/>
        </w:rPr>
        <w:t xml:space="preserve">B. Students keep their free-speech rights at school, unless the speech substantially disrupts</w:t>
      </w:r>
    </w:p>
    <w:p>
      <w:pPr>
        <w:spacing w:after="20"/>
        <w:ind w:left="260"/>
      </w:pPr>
      <w:r>
        <w:rPr>
          <w:b w:val="false"/>
          <w:bCs w:val="false"/>
          <w:i w:val="false"/>
          <w:iCs w:val="false"/>
          <w:color w:val="1A1A1A"/>
          <w:sz w:val="20"/>
          <w:szCs w:val="20"/>
          <w:caps w:val="false"/>
          <w:rFonts w:ascii="Calibri" w:cs="Calibri" w:eastAsia="Calibri" w:hAnsi="Calibri"/>
        </w:rPr>
        <w:t xml:space="preserve">C. The First Amendment does not apply to students</w:t>
      </w:r>
    </w:p>
    <w:p>
      <w:pPr>
        <w:spacing w:after="20"/>
        <w:ind w:left="260"/>
      </w:pPr>
      <w:r>
        <w:rPr>
          <w:b w:val="false"/>
          <w:bCs w:val="false"/>
          <w:i w:val="false"/>
          <w:iCs w:val="false"/>
          <w:color w:val="1A1A1A"/>
          <w:sz w:val="20"/>
          <w:szCs w:val="20"/>
          <w:caps w:val="false"/>
          <w:rFonts w:ascii="Calibri" w:cs="Calibri" w:eastAsia="Calibri" w:hAnsi="Calibri"/>
        </w:rPr>
        <w:t xml:space="preserve">D. Only teachers, not students, have free-speech rights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GC.23</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Should student speech be more limited than adult speech? Defend your claim using Tinker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GC.23</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GC.24 — The Second Amendment in Court</w:t>
      </w:r>
    </w:p>
    <w:p>
      <w:pPr>
        <w:spacing w:after="60"/>
      </w:pPr>
      <w:r>
        <w:rPr>
          <w:b/>
          <w:bCs/>
          <w:i w:val="false"/>
          <w:iCs w:val="false"/>
          <w:color w:val="1A1A1A"/>
          <w:sz w:val="22"/>
          <w:szCs w:val="22"/>
          <w:caps w:val="false"/>
          <w:rFonts w:ascii="Calibri" w:cs="Calibri" w:eastAsia="Calibri" w:hAnsi="Calibri"/>
        </w:rPr>
        <w:t xml:space="preserve">TN Academic Standard GC.24: </w:t>
      </w:r>
      <w:r>
        <w:rPr>
          <w:b w:val="false"/>
          <w:bCs w:val="false"/>
          <w:i w:val="false"/>
          <w:iCs w:val="false"/>
          <w:color w:val="1A1A1A"/>
          <w:sz w:val="22"/>
          <w:szCs w:val="22"/>
          <w:caps w:val="false"/>
          <w:rFonts w:ascii="Calibri" w:cs="Calibri" w:eastAsia="Calibri" w:hAnsi="Calibri"/>
        </w:rPr>
        <w:t xml:space="preserve">Explain the 2nd Amendment and evaluate its various interpretations.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explain the Second Amendment and evaluate how the Supreme Court has interpreted it..</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One sentence, written in 1791, still splits the country: is the right to 'keep and bear Arms' yours as a person, or only as part of a militia? The Court finally answered in 2008.</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GC.24</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Segunda Enmienda</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individual</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Second Amendment (SEK-und uh-MEND-ment); Individual Right (in-dih-VIJ-oo-ul); Incorporation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Second Amendment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Individual Right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GC.24</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Individual Right</w:t>
            </w:r>
            <w:r>
              <w:rPr>
                <w:b w:val="false"/>
                <w:bCs w:val="false"/>
                <w:i w:val="false"/>
                <w:iCs w:val="false"/>
                <w:color w:val="D9D5C8"/>
                <w:sz w:val="18"/>
                <w:szCs w:val="18"/>
                <w:caps w:val="false"/>
                <w:rFonts w:ascii="Calibri" w:cs="Calibri" w:eastAsia="Calibri" w:hAnsi="Calibri"/>
              </w:rPr>
              <w:t xml:space="preserve">      ·   ES: derecho individual</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“Individual Right”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w:t>
            </w:r>
            <w:r>
              <w:rPr>
                <w:b w:val="false"/>
                <w:bCs w:val="false"/>
                <w:i w:val="false"/>
                <w:iCs w:val="false"/>
                <w:color w:val="D9D5C8"/>
                <w:sz w:val="18"/>
                <w:szCs w:val="18"/>
                <w:caps w:val="false"/>
                <w:rFonts w:ascii="Calibri" w:cs="Calibri" w:eastAsia="Calibri" w:hAnsi="Calibri"/>
              </w:rPr>
              <w:t xml:space="preserve">      ·   ES: incorporación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Individual Right</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Incorporation</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GC.24</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GC.24 — The Second Amendment in Court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Second Amendment · Individual Right · Incorporation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did District of Columbia v. Heller (2008) decide about the Second Amendment?</w:t>
            </w:r>
          </w:p>
          <w:p>
            <w:pPr>
              <w:spacing w:after="30"/>
              <w:ind w:left="360"/>
            </w:pPr>
            <w:r>
              <w:rPr>
                <w:b w:val="false"/>
                <w:bCs w:val="false"/>
                <w:i w:val="false"/>
                <w:iCs w:val="false"/>
                <w:color w:val="1A1A1A"/>
                <w:sz w:val="21"/>
                <w:szCs w:val="21"/>
                <w:caps w:val="false"/>
                <w:rFonts w:ascii="Calibri" w:cs="Calibri" w:eastAsia="Calibri" w:hAnsi="Calibri"/>
              </w:rPr>
              <w:t xml:space="preserve">A.   That only the military may own weapons</w:t>
            </w:r>
          </w:p>
          <w:p>
            <w:pPr>
              <w:spacing w:after="30"/>
              <w:ind w:left="360"/>
            </w:pPr>
            <w:r>
              <w:rPr>
                <w:b w:val="false"/>
                <w:bCs w:val="false"/>
                <w:i w:val="false"/>
                <w:iCs w:val="false"/>
                <w:color w:val="1A1A1A"/>
                <w:sz w:val="21"/>
                <w:szCs w:val="21"/>
                <w:caps w:val="false"/>
                <w:rFonts w:ascii="Calibri" w:cs="Calibri" w:eastAsia="Calibri" w:hAnsi="Calibri"/>
              </w:rPr>
              <w:t xml:space="preserve">B.   That the amendment applies only to the federal government forever</w:t>
            </w:r>
          </w:p>
          <w:p>
            <w:pPr>
              <w:spacing w:after="30"/>
              <w:ind w:left="360"/>
            </w:pPr>
            <w:r>
              <w:rPr>
                <w:b w:val="false"/>
                <w:bCs w:val="false"/>
                <w:i w:val="false"/>
                <w:iCs w:val="false"/>
                <w:color w:val="1A1A1A"/>
                <w:sz w:val="21"/>
                <w:szCs w:val="21"/>
                <w:caps w:val="false"/>
                <w:rFonts w:ascii="Calibri" w:cs="Calibri" w:eastAsia="Calibri" w:hAnsi="Calibri"/>
              </w:rPr>
              <w:t xml:space="preserve">C.   That states may ban all firearms</w:t>
            </w:r>
          </w:p>
          <w:p>
            <w:pPr>
              <w:spacing w:after="30"/>
              <w:ind w:left="360"/>
            </w:pPr>
            <w:r>
              <w:rPr>
                <w:b w:val="false"/>
                <w:bCs w:val="false"/>
                <w:i w:val="false"/>
                <w:iCs w:val="false"/>
                <w:color w:val="1A1A1A"/>
                <w:sz w:val="21"/>
                <w:szCs w:val="21"/>
                <w:caps w:val="false"/>
                <w:rFonts w:ascii="Calibri" w:cs="Calibri" w:eastAsia="Calibri" w:hAnsi="Calibri"/>
              </w:rPr>
              <w:t xml:space="preserve">D.   That the Second Amendment protects an individual right to keep and bear arms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GC.24</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amendment protecting 'the right of the people to keep and bear Arms,' whose meaning has been debated between an individual right and a militia-based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right held by each person, not only by a group; District of Columbia v. Heller (2008) read the Second Amendment as an individual right.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Applying a Bill of Rights protection to the states through the 14th Amendment; McDonald v. Chicago (2010) incorporated the Second Amendment.</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second amendment in court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second amendment in court was Second Amendment: The amendment protecting 'the right of the people to keep and bear Arms,' whose meaning has been debated between an individual right and a militia-based right.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GC.24</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Second Amendment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Individual Right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 The Court said the right is 'not unlimited' — what kinds of regulation might still be allowed?</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Second Amendment's single sentence has produced one of the country's longest debates: does 'the right of the people to keep and bear Arms' belong to individuals, or only to a 'well regulated Militia'? For most of American history the question stayed unsettled. In District of Columbia v. Heller (2008), the Supreme Court held that the amendment protects an individual right to keep and bear arms for lawful purposes such as self-defense, striking down a strict handgun ban in the federal district. Two years later, McDonald v. Chicago (2010) applied that right to the states through incorporation under the 14th Amendment. The Court also made clear the right is not unlimited — governments may still regulate who may carry, where, and how. The debate over where to draw those lines continues in legislatures and courts today.</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Second Amendment, Individual Right.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are the two competing readings of the Second Amendment's text?</w:t>
      </w:r>
    </w:p>
    <w:p>
      <w:pPr>
        <w:spacing w:after="100"/>
      </w:pPr>
      <w:r>
        <w:rPr>
          <w:b w:val="false"/>
          <w:bCs w:val="false"/>
          <w:i w:val="false"/>
          <w:iCs w:val="false"/>
          <w:color w:val="1A1A1A"/>
          <w:sz w:val="20"/>
          <w:szCs w:val="20"/>
          <w:caps w:val="false"/>
          <w:rFonts w:ascii="Calibri" w:cs="Calibri" w:eastAsia="Calibri" w:hAnsi="Calibri"/>
        </w:rPr>
        <w:t xml:space="preserve">2. What did Heller decide, and how did McDonald extend it to the states?</w:t>
      </w:r>
    </w:p>
    <w:p>
      <w:pPr>
        <w:spacing w:after="100"/>
      </w:pPr>
      <w:r>
        <w:rPr>
          <w:b w:val="false"/>
          <w:bCs w:val="false"/>
          <w:i w:val="false"/>
          <w:iCs w:val="false"/>
          <w:color w:val="1A1A1A"/>
          <w:sz w:val="20"/>
          <w:szCs w:val="20"/>
          <w:caps w:val="false"/>
          <w:rFonts w:ascii="Calibri" w:cs="Calibri" w:eastAsia="Calibri" w:hAnsi="Calibri"/>
        </w:rPr>
        <w:t xml:space="preserve">3. The Court said the right is 'not unlimited' — what kinds of regulation might still be allowed?</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GC.24</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Second Amendment (document detail)" descr="Document: Second Amendment (document detail) (1st U.S. Congress (NARA), 1789)." title="Second Amendment (document det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Second Amendment (document detail) · 1st U.S. Congress (NARA) · 1789</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https://commons.wikimedia.org/wiki/File:SecondAmendentoftheUnitedStatesConstitution.jpg Public domain — U.S. gov document; NARA scan https://commons.wikimedia.org/wiki/File:SecondAmendentoftheUnitedStatesConstitution.jpg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GC.24</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u6-gc24-dok1-1 · pre-field-test]</w:t>
      </w:r>
    </w:p>
    <w:p>
      <w:pPr>
        <w:spacing w:after="100"/>
      </w:pPr>
      <w:r>
        <w:rPr>
          <w:b/>
          <w:bCs/>
          <w:i w:val="false"/>
          <w:iCs w:val="false"/>
          <w:color w:val="1A1A1A"/>
          <w:sz w:val="21"/>
          <w:szCs w:val="21"/>
          <w:caps w:val="false"/>
          <w:rFonts w:ascii="Calibri" w:cs="Calibri" w:eastAsia="Calibri" w:hAnsi="Calibri"/>
        </w:rPr>
        <w:t xml:space="preserve">Which case applied the Second Amendment to the states?</w:t>
      </w:r>
    </w:p>
    <w:p>
      <w:pPr>
        <w:spacing w:after="20"/>
        <w:ind w:left="260"/>
      </w:pPr>
      <w:r>
        <w:rPr>
          <w:b w:val="false"/>
          <w:bCs w:val="false"/>
          <w:i w:val="false"/>
          <w:iCs w:val="false"/>
          <w:color w:val="1A1A1A"/>
          <w:sz w:val="20"/>
          <w:szCs w:val="20"/>
          <w:caps w:val="false"/>
          <w:rFonts w:ascii="Calibri" w:cs="Calibri" w:eastAsia="Calibri" w:hAnsi="Calibri"/>
        </w:rPr>
        <w:t xml:space="preserve">A. McDonald v. Chicago</w:t>
      </w:r>
    </w:p>
    <w:p>
      <w:pPr>
        <w:spacing w:after="20"/>
        <w:ind w:left="260"/>
      </w:pPr>
      <w:r>
        <w:rPr>
          <w:b w:val="false"/>
          <w:bCs w:val="false"/>
          <w:i w:val="false"/>
          <w:iCs w:val="false"/>
          <w:color w:val="1A1A1A"/>
          <w:sz w:val="20"/>
          <w:szCs w:val="20"/>
          <w:caps w:val="false"/>
          <w:rFonts w:ascii="Calibri" w:cs="Calibri" w:eastAsia="Calibri" w:hAnsi="Calibri"/>
        </w:rPr>
        <w:t xml:space="preserve">B.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C. Engel v. Vitale</w:t>
      </w:r>
    </w:p>
    <w:p>
      <w:pPr>
        <w:spacing w:after="20"/>
        <w:ind w:left="260"/>
      </w:pPr>
      <w:r>
        <w:rPr>
          <w:b w:val="false"/>
          <w:bCs w:val="false"/>
          <w:i w:val="false"/>
          <w:iCs w:val="false"/>
          <w:color w:val="1A1A1A"/>
          <w:sz w:val="20"/>
          <w:szCs w:val="20"/>
          <w:caps w:val="false"/>
          <w:rFonts w:ascii="Calibri" w:cs="Calibri" w:eastAsia="Calibri" w:hAnsi="Calibri"/>
        </w:rPr>
        <w:t xml:space="preserve">D. Plessy v. Ferguson</w:t>
      </w:r>
    </w:p>
    <w:p>
      <w:pPr>
        <w:spacing w:after="100"/>
      </w:pPr>
      <w:r>
        <w:rPr>
          <w:b/>
          <w:bCs/>
          <w:i w:val="false"/>
          <w:iCs w:val="false"/>
          <w:color w:val="6B7280"/>
          <w:sz w:val="18"/>
          <w:szCs w:val="18"/>
          <w:caps w:val="false"/>
          <w:rFonts w:ascii="Calibri" w:cs="Calibri" w:eastAsia="Calibri" w:hAnsi="Calibri"/>
        </w:rPr>
        <w:t xml:space="preserve">[DOK 2 · item u1-gc24-dok2-tc · pre-field-test]</w:t>
      </w:r>
    </w:p>
    <w:p>
      <w:pPr>
        <w:spacing w:after="100"/>
      </w:pPr>
      <w:r>
        <w:rPr>
          <w:b/>
          <w:bCs/>
          <w:i w:val="false"/>
          <w:iCs w:val="false"/>
          <w:color w:val="1A1A1A"/>
          <w:sz w:val="21"/>
          <w:szCs w:val="21"/>
          <w:caps w:val="false"/>
          <w:rFonts w:ascii="Calibri" w:cs="Calibri" w:eastAsia="Calibri" w:hAnsi="Calibri"/>
        </w:rPr>
        <w:t xml:space="preserve">What did District of Columbia v. Heller (2008) decide about the Second Amendment?</w:t>
      </w:r>
    </w:p>
    <w:p>
      <w:pPr>
        <w:spacing w:after="20"/>
        <w:ind w:left="260"/>
      </w:pPr>
      <w:r>
        <w:rPr>
          <w:b w:val="false"/>
          <w:bCs w:val="false"/>
          <w:i w:val="false"/>
          <w:iCs w:val="false"/>
          <w:color w:val="1A1A1A"/>
          <w:sz w:val="20"/>
          <w:szCs w:val="20"/>
          <w:caps w:val="false"/>
          <w:rFonts w:ascii="Calibri" w:cs="Calibri" w:eastAsia="Calibri" w:hAnsi="Calibri"/>
        </w:rPr>
        <w:t xml:space="preserve">A. That only the military may own weapons</w:t>
      </w:r>
    </w:p>
    <w:p>
      <w:pPr>
        <w:spacing w:after="20"/>
        <w:ind w:left="260"/>
      </w:pPr>
      <w:r>
        <w:rPr>
          <w:b w:val="false"/>
          <w:bCs w:val="false"/>
          <w:i w:val="false"/>
          <w:iCs w:val="false"/>
          <w:color w:val="1A1A1A"/>
          <w:sz w:val="20"/>
          <w:szCs w:val="20"/>
          <w:caps w:val="false"/>
          <w:rFonts w:ascii="Calibri" w:cs="Calibri" w:eastAsia="Calibri" w:hAnsi="Calibri"/>
        </w:rPr>
        <w:t xml:space="preserve">B. That the amendment applies only to the federal government forever</w:t>
      </w:r>
    </w:p>
    <w:p>
      <w:pPr>
        <w:spacing w:after="20"/>
        <w:ind w:left="260"/>
      </w:pPr>
      <w:r>
        <w:rPr>
          <w:b w:val="false"/>
          <w:bCs w:val="false"/>
          <w:i w:val="false"/>
          <w:iCs w:val="false"/>
          <w:color w:val="1A1A1A"/>
          <w:sz w:val="20"/>
          <w:szCs w:val="20"/>
          <w:caps w:val="false"/>
          <w:rFonts w:ascii="Calibri" w:cs="Calibri" w:eastAsia="Calibri" w:hAnsi="Calibri"/>
        </w:rPr>
        <w:t xml:space="preserve">C. That states may ban all firearms</w:t>
      </w:r>
    </w:p>
    <w:p>
      <w:pPr>
        <w:spacing w:after="20"/>
        <w:ind w:left="260"/>
      </w:pPr>
      <w:r>
        <w:rPr>
          <w:b w:val="false"/>
          <w:bCs w:val="false"/>
          <w:i w:val="false"/>
          <w:iCs w:val="false"/>
          <w:color w:val="1A1A1A"/>
          <w:sz w:val="20"/>
          <w:szCs w:val="20"/>
          <w:caps w:val="false"/>
          <w:rFonts w:ascii="Calibri" w:cs="Calibri" w:eastAsia="Calibri" w:hAnsi="Calibri"/>
        </w:rPr>
        <w:t xml:space="preserve">D. That the Second Amendment protects an individual right to keep and bear arms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GC.24</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Does the Second Amendment protect an individual right, a militia right, or both? Defend your claim using the text and Heller.</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GC.24</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GC.25 — Rights of the Accused (4th–8th Amendments)</w:t>
      </w:r>
    </w:p>
    <w:p>
      <w:pPr>
        <w:spacing w:after="60"/>
      </w:pPr>
      <w:r>
        <w:rPr>
          <w:b/>
          <w:bCs/>
          <w:i w:val="false"/>
          <w:iCs w:val="false"/>
          <w:color w:val="1A1A1A"/>
          <w:sz w:val="22"/>
          <w:szCs w:val="22"/>
          <w:caps w:val="false"/>
          <w:rFonts w:ascii="Calibri" w:cs="Calibri" w:eastAsia="Calibri" w:hAnsi="Calibri"/>
        </w:rPr>
        <w:t xml:space="preserve">TN Academic Standard GC.25: </w:t>
      </w:r>
      <w:r>
        <w:rPr>
          <w:b w:val="false"/>
          <w:bCs w:val="false"/>
          <w:i w:val="false"/>
          <w:iCs w:val="false"/>
          <w:color w:val="1A1A1A"/>
          <w:sz w:val="22"/>
          <w:szCs w:val="22"/>
          <w:caps w:val="false"/>
          <w:rFonts w:ascii="Calibri" w:cs="Calibri" w:eastAsia="Calibri" w:hAnsi="Calibri"/>
        </w:rPr>
        <w:t xml:space="preserve">Evaluate the Supreme Court's interpretations of freedoms in the 4th through 8th Amendments, including: Mapp v. Ohio; Gideon v. Wainwright; Miranda v. Arizona.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protected the rights of the accused under the 4th through 8th Amendments..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'You have the right to remain silent.' You've heard it a hundred times on TV — but a real person had to fight to the Supreme Court to make it law. Which rights protect the accused?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GC.25</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regla de exclusión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 a un abogado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derechos Miranda</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Exclusionary Rule (eks-KLOO-zhun-air-ee); Right to Counsel (KOWN-sel); Miranda Rights (muh-RAN-duh).</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Exclusionary Rule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Right to Counsel</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Miranda Rights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GC.25</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Exclusionary Rule</w:t>
            </w:r>
            <w:r>
              <w:rPr>
                <w:b w:val="false"/>
                <w:bCs w:val="false"/>
                <w:i w:val="false"/>
                <w:iCs w:val="false"/>
                <w:color w:val="D9D5C8"/>
                <w:sz w:val="18"/>
                <w:szCs w:val="18"/>
                <w:caps w:val="false"/>
                <w:rFonts w:ascii="Calibri" w:cs="Calibri" w:eastAsia="Calibri" w:hAnsi="Calibri"/>
              </w:rPr>
              <w:t xml:space="preserve">      ·   ES: regla de exclusión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“Exclusionary Rule”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Miranda Rights</w:t>
            </w:r>
            <w:r>
              <w:rPr>
                <w:b w:val="false"/>
                <w:bCs w:val="false"/>
                <w:i w:val="false"/>
                <w:iCs w:val="false"/>
                <w:color w:val="D9D5C8"/>
                <w:sz w:val="18"/>
                <w:szCs w:val="18"/>
                <w:caps w:val="false"/>
                <w:rFonts w:ascii="Calibri" w:cs="Calibri" w:eastAsia="Calibri" w:hAnsi="Calibri"/>
              </w:rPr>
              <w:t xml:space="preserve">      ·   ES: derechos Miranda</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“Miranda Rights”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Exclusionary Rule</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Miranda Rights</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GC.25</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GC.25 — Rights of the Accused (4th–8th Amendments)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Exclusionary Rule · Right to Counsel · Miranda Rights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right did Gideon v. Wainwright (1963) guarantee?</w:t>
            </w:r>
          </w:p>
          <w:p>
            <w:pPr>
              <w:spacing w:after="30"/>
              <w:ind w:left="360"/>
            </w:pPr>
            <w:r>
              <w:rPr>
                <w:b w:val="false"/>
                <w:bCs w:val="false"/>
                <w:i w:val="false"/>
                <w:iCs w:val="false"/>
                <w:color w:val="1A1A1A"/>
                <w:sz w:val="21"/>
                <w:szCs w:val="21"/>
                <w:caps w:val="false"/>
                <w:rFonts w:ascii="Calibri" w:cs="Calibri" w:eastAsia="Calibri" w:hAnsi="Calibri"/>
              </w:rPr>
              <w:t xml:space="preserve">A.   The state must provide a lawyer to a defendant who cannot afford one</w:t>
            </w:r>
          </w:p>
          <w:p>
            <w:pPr>
              <w:spacing w:after="30"/>
              <w:ind w:left="360"/>
            </w:pPr>
            <w:r>
              <w:rPr>
                <w:b w:val="false"/>
                <w:bCs w:val="false"/>
                <w:i w:val="false"/>
                <w:iCs w:val="false"/>
                <w:color w:val="1A1A1A"/>
                <w:sz w:val="21"/>
                <w:szCs w:val="21"/>
                <w:caps w:val="false"/>
                <w:rFonts w:ascii="Calibri" w:cs="Calibri" w:eastAsia="Calibri" w:hAnsi="Calibri"/>
              </w:rPr>
              <w:t xml:space="preserve">B.   Police may search a home without a warrant</w:t>
            </w:r>
          </w:p>
          <w:p>
            <w:pPr>
              <w:spacing w:after="30"/>
              <w:ind w:left="360"/>
            </w:pPr>
            <w:r>
              <w:rPr>
                <w:b w:val="false"/>
                <w:bCs w:val="false"/>
                <w:i w:val="false"/>
                <w:iCs w:val="false"/>
                <w:color w:val="1A1A1A"/>
                <w:sz w:val="21"/>
                <w:szCs w:val="21"/>
                <w:caps w:val="false"/>
                <w:rFonts w:ascii="Calibri" w:cs="Calibri" w:eastAsia="Calibri" w:hAnsi="Calibri"/>
              </w:rPr>
              <w:t xml:space="preserve">C.   A suspect must answer all police questions</w:t>
            </w:r>
          </w:p>
          <w:p>
            <w:pPr>
              <w:spacing w:after="30"/>
              <w:ind w:left="360"/>
            </w:pPr>
            <w:r>
              <w:rPr>
                <w:b w:val="false"/>
                <w:bCs w:val="false"/>
                <w:i w:val="false"/>
                <w:iCs w:val="false"/>
                <w:color w:val="1A1A1A"/>
                <w:sz w:val="21"/>
                <w:szCs w:val="21"/>
                <w:caps w:val="false"/>
                <w:rFonts w:ascii="Calibri" w:cs="Calibri" w:eastAsia="Calibri" w:hAnsi="Calibri"/>
              </w:rPr>
              <w:t xml:space="preserve">D.   Trials may be held in secret</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GC.25</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rule from Mapp v. Ohio (1961) that evidence obtained by an illegal search cannot be used in court — enforcing the 4th Amendment.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6th Amendment right to a lawyer; Gideon v. Wainwright (1963) required the state to provide one to defendants who cannot afford it.</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warnings police must give before questioning — the right to remain silent and to an attorney — from Miranda v. Arizona (1966).</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of the accused (4th–8th amendments)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of the accused (4th–8th amendments) was Exclusionary Rule: The rule from Mapp v. Ohio (1961) that evidence obtained by an illegal search cannot be used in court — enforcing the 4th Amendment.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GC.25</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Exclusionary Rule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Right to Counsel</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Miranda Rights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 Why must police read 'Miranda rights,' and which amendment protects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4th through 8th Amendments protect people accused of crimes, and three landmark cases put those protections into practice. Mapp v. Ohio (1961) enforced the 4th Amendment's ban on unreasonable searches with the exclusionary rule: evidence found through an illegal search cannot be used in court. Gideon v. Wainwright (1963) enforced the 6th Amendment's right to counsel, holding that 'any person haled into court, who is too poor to hire a lawyer, cannot be assured a fair trial unless counsel is provided for him' — so states must provide attorneys to those who cannot afford one. Miranda v. Arizona (1966) enforced the 5th Amendment right against self-incrimination, requiring police to warn suspects of their right to remain silent and to a lawyer — the 'Miranda rights.' Together these rulings show the Court applying the Bill of Rights to protect the individual against the power of the state.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Exclusionary Rule, Right to Counsel.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is the exclusionary rule, and which amendment does it enforce (Mapp)?</w:t>
      </w:r>
    </w:p>
    <w:p>
      <w:pPr>
        <w:spacing w:after="100"/>
      </w:pPr>
      <w:r>
        <w:rPr>
          <w:b w:val="false"/>
          <w:bCs w:val="false"/>
          <w:i w:val="false"/>
          <w:iCs w:val="false"/>
          <w:color w:val="1A1A1A"/>
          <w:sz w:val="20"/>
          <w:szCs w:val="20"/>
          <w:caps w:val="false"/>
          <w:rFonts w:ascii="Calibri" w:cs="Calibri" w:eastAsia="Calibri" w:hAnsi="Calibri"/>
        </w:rPr>
        <w:t xml:space="preserve">2. What did Gideon guarantee, and to whom?</w:t>
      </w:r>
    </w:p>
    <w:p>
      <w:pPr>
        <w:spacing w:after="100"/>
      </w:pPr>
      <w:r>
        <w:rPr>
          <w:b w:val="false"/>
          <w:bCs w:val="false"/>
          <w:i w:val="false"/>
          <w:iCs w:val="false"/>
          <w:color w:val="1A1A1A"/>
          <w:sz w:val="20"/>
          <w:szCs w:val="20"/>
          <w:caps w:val="false"/>
          <w:rFonts w:ascii="Calibri" w:cs="Calibri" w:eastAsia="Calibri" w:hAnsi="Calibri"/>
        </w:rPr>
        <w:t xml:space="preserve">3. Why must police read 'Miranda rights,' and which amendment protects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GC.25</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Clarence Gideon's handwritten cert. petition" descr="Document: Clarence Gideon's handwritten cert. petition (Clarence Earl Gideon (NARA RG 267), 1962)." title="Clarence Gideon's handwritten cert. peti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Clarence Gideon's handwritten cert. petition · Clarence Earl Gideon (NARA RG 267) · 1962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https://commons.wikimedia.org/wiki/File:Gideon_petition_for_certiorari.jpg Public domain — U.S. federal court record (NARA) https://commons.wikimedia.org/wiki/File:Gideon_petition_for_certiorari.jpg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GC.25</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u6-gc25-dok1-1 · pre-field-test]</w:t>
      </w:r>
    </w:p>
    <w:p>
      <w:pPr>
        <w:spacing w:after="100"/>
      </w:pPr>
      <w:r>
        <w:rPr>
          <w:b/>
          <w:bCs/>
          <w:i w:val="false"/>
          <w:iCs w:val="false"/>
          <w:color w:val="1A1A1A"/>
          <w:sz w:val="21"/>
          <w:szCs w:val="21"/>
          <w:caps w:val="false"/>
          <w:rFonts w:ascii="Calibri" w:cs="Calibri" w:eastAsia="Calibri" w:hAnsi="Calibri"/>
        </w:rPr>
        <w:t xml:space="preserve">The requirement that police warn suspects of the right to remain silent comes from:</w:t>
      </w:r>
    </w:p>
    <w:p>
      <w:pPr>
        <w:spacing w:after="20"/>
        <w:ind w:left="260"/>
      </w:pPr>
      <w:r>
        <w:rPr>
          <w:b w:val="false"/>
          <w:bCs w:val="false"/>
          <w:i w:val="false"/>
          <w:iCs w:val="false"/>
          <w:color w:val="1A1A1A"/>
          <w:sz w:val="20"/>
          <w:szCs w:val="20"/>
          <w:caps w:val="false"/>
          <w:rFonts w:ascii="Calibri" w:cs="Calibri" w:eastAsia="Calibri" w:hAnsi="Calibri"/>
        </w:rPr>
        <w:t xml:space="preserve">A. Mapp v. Ohio</w:t>
      </w:r>
    </w:p>
    <w:p>
      <w:pPr>
        <w:spacing w:after="20"/>
        <w:ind w:left="260"/>
      </w:pPr>
      <w:r>
        <w:rPr>
          <w:b w:val="false"/>
          <w:bCs w:val="false"/>
          <w:i w:val="false"/>
          <w:iCs w:val="false"/>
          <w:color w:val="1A1A1A"/>
          <w:sz w:val="20"/>
          <w:szCs w:val="20"/>
          <w:caps w:val="false"/>
          <w:rFonts w:ascii="Calibri" w:cs="Calibri" w:eastAsia="Calibri" w:hAnsi="Calibri"/>
        </w:rPr>
        <w:t xml:space="preserve">B. Gideon v. Wainwright</w:t>
      </w:r>
    </w:p>
    <w:p>
      <w:pPr>
        <w:spacing w:after="20"/>
        <w:ind w:left="260"/>
      </w:pPr>
      <w:r>
        <w:rPr>
          <w:b w:val="false"/>
          <w:bCs w:val="false"/>
          <w:i w:val="false"/>
          <w:iCs w:val="false"/>
          <w:color w:val="1A1A1A"/>
          <w:sz w:val="20"/>
          <w:szCs w:val="20"/>
          <w:caps w:val="false"/>
          <w:rFonts w:ascii="Calibri" w:cs="Calibri" w:eastAsia="Calibri" w:hAnsi="Calibri"/>
        </w:rPr>
        <w:t xml:space="preserve">C. Miranda v. Arizona</w:t>
      </w:r>
    </w:p>
    <w:p>
      <w:pPr>
        <w:spacing w:after="20"/>
        <w:ind w:left="260"/>
      </w:pPr>
      <w:r>
        <w:rPr>
          <w:b w:val="false"/>
          <w:bCs w:val="false"/>
          <w:i w:val="false"/>
          <w:iCs w:val="false"/>
          <w:color w:val="1A1A1A"/>
          <w:sz w:val="20"/>
          <w:szCs w:val="20"/>
          <w:caps w:val="false"/>
          <w:rFonts w:ascii="Calibri" w:cs="Calibri" w:eastAsia="Calibri" w:hAnsi="Calibri"/>
        </w:rPr>
        <w:t xml:space="preserve">D. Brown v. Board of Education</w:t>
      </w:r>
    </w:p>
    <w:p>
      <w:pPr>
        <w:spacing w:after="100"/>
      </w:pPr>
      <w:r>
        <w:rPr>
          <w:b/>
          <w:bCs/>
          <w:i w:val="false"/>
          <w:iCs w:val="false"/>
          <w:color w:val="6B7280"/>
          <w:sz w:val="18"/>
          <w:szCs w:val="18"/>
          <w:caps w:val="false"/>
          <w:rFonts w:ascii="Calibri" w:cs="Calibri" w:eastAsia="Calibri" w:hAnsi="Calibri"/>
        </w:rPr>
        <w:t xml:space="preserve">[DOK 2 · item u1-gc25-dok2-tc · pre-field-test]</w:t>
      </w:r>
    </w:p>
    <w:p>
      <w:pPr>
        <w:spacing w:after="100"/>
      </w:pPr>
      <w:r>
        <w:rPr>
          <w:b/>
          <w:bCs/>
          <w:i w:val="false"/>
          <w:iCs w:val="false"/>
          <w:color w:val="1A1A1A"/>
          <w:sz w:val="21"/>
          <w:szCs w:val="21"/>
          <w:caps w:val="false"/>
          <w:rFonts w:ascii="Calibri" w:cs="Calibri" w:eastAsia="Calibri" w:hAnsi="Calibri"/>
        </w:rPr>
        <w:t xml:space="preserve">What right did Gideon v. Wainwright (1963) guarantee?</w:t>
      </w:r>
    </w:p>
    <w:p>
      <w:pPr>
        <w:spacing w:after="20"/>
        <w:ind w:left="260"/>
      </w:pPr>
      <w:r>
        <w:rPr>
          <w:b w:val="false"/>
          <w:bCs w:val="false"/>
          <w:i w:val="false"/>
          <w:iCs w:val="false"/>
          <w:color w:val="1A1A1A"/>
          <w:sz w:val="20"/>
          <w:szCs w:val="20"/>
          <w:caps w:val="false"/>
          <w:rFonts w:ascii="Calibri" w:cs="Calibri" w:eastAsia="Calibri" w:hAnsi="Calibri"/>
        </w:rPr>
        <w:t xml:space="preserve">A. The state must provide a lawyer to a defendant who cannot afford one</w:t>
      </w:r>
    </w:p>
    <w:p>
      <w:pPr>
        <w:spacing w:after="20"/>
        <w:ind w:left="260"/>
      </w:pPr>
      <w:r>
        <w:rPr>
          <w:b w:val="false"/>
          <w:bCs w:val="false"/>
          <w:i w:val="false"/>
          <w:iCs w:val="false"/>
          <w:color w:val="1A1A1A"/>
          <w:sz w:val="20"/>
          <w:szCs w:val="20"/>
          <w:caps w:val="false"/>
          <w:rFonts w:ascii="Calibri" w:cs="Calibri" w:eastAsia="Calibri" w:hAnsi="Calibri"/>
        </w:rPr>
        <w:t xml:space="preserve">B. Police may search a home without a warrant</w:t>
      </w:r>
    </w:p>
    <w:p>
      <w:pPr>
        <w:spacing w:after="20"/>
        <w:ind w:left="260"/>
      </w:pPr>
      <w:r>
        <w:rPr>
          <w:b w:val="false"/>
          <w:bCs w:val="false"/>
          <w:i w:val="false"/>
          <w:iCs w:val="false"/>
          <w:color w:val="1A1A1A"/>
          <w:sz w:val="20"/>
          <w:szCs w:val="20"/>
          <w:caps w:val="false"/>
          <w:rFonts w:ascii="Calibri" w:cs="Calibri" w:eastAsia="Calibri" w:hAnsi="Calibri"/>
        </w:rPr>
        <w:t xml:space="preserve">C. A suspect must answer all police questions</w:t>
      </w:r>
    </w:p>
    <w:p>
      <w:pPr>
        <w:spacing w:after="20"/>
        <w:ind w:left="260"/>
      </w:pPr>
      <w:r>
        <w:rPr>
          <w:b w:val="false"/>
          <w:bCs w:val="false"/>
          <w:i w:val="false"/>
          <w:iCs w:val="false"/>
          <w:color w:val="1A1A1A"/>
          <w:sz w:val="20"/>
          <w:szCs w:val="20"/>
          <w:caps w:val="false"/>
          <w:rFonts w:ascii="Calibri" w:cs="Calibri" w:eastAsia="Calibri" w:hAnsi="Calibri"/>
        </w:rPr>
        <w:t xml:space="preserve">D. Trials may be held in secret</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GC.25</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Do the rights of the accused protect the innocent or shield the guilty? Defend your claim using Gideon and one other case.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GC.25</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GC.26 — The 14th Amendment — Equal Protection &amp; Due Process</w:t>
      </w:r>
    </w:p>
    <w:p>
      <w:pPr>
        <w:spacing w:after="60"/>
      </w:pPr>
      <w:r>
        <w:rPr>
          <w:b/>
          <w:bCs/>
          <w:i w:val="false"/>
          <w:iCs w:val="false"/>
          <w:color w:val="1A1A1A"/>
          <w:sz w:val="22"/>
          <w:szCs w:val="22"/>
          <w:caps w:val="false"/>
          <w:rFonts w:ascii="Calibri" w:cs="Calibri" w:eastAsia="Calibri" w:hAnsi="Calibri"/>
        </w:rPr>
        <w:t xml:space="preserve">TN Academic Standard GC.26: </w:t>
      </w:r>
      <w:r>
        <w:rPr>
          <w:b w:val="false"/>
          <w:bCs w:val="false"/>
          <w:i w:val="false"/>
          <w:iCs w:val="false"/>
          <w:color w:val="1A1A1A"/>
          <w:sz w:val="22"/>
          <w:szCs w:val="22"/>
          <w:caps w:val="false"/>
          <w:rFonts w:ascii="Calibri" w:cs="Calibri" w:eastAsia="Calibri" w:hAnsi="Calibri"/>
        </w:rPr>
        <w:t xml:space="preserve">Evaluate the Supreme Court's interpretations of the freedoms in the 14th Amendment, equal protection, and due process clauses, including: Plessy v. Ferguson; Gitlow v. New York; Brown v. Board of Education; Obergefell v. Hodges.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evaluate how the Supreme Court has interpreted the 14th Amendment's equal protection and due process clauses..</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Equal Protection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The same 14th Amendment once allowed 'separate but equal' — and later ended it. How can the identical words mean opposite things fifty years apart?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GC.26</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cláusula de igual protección</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debido proceso</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doctrina de incorporación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Equal Protection Clause (EE-kwul pro-TEK-shun); Due Process (doo PROSS-ess); Incorporation Doctrine (in-kor-por-AY-shun).</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Equal Protection Clause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Due Process</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Incorporation Doctrine</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GC.26</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Equal Protection Clause</w:t>
            </w:r>
            <w:r>
              <w:rPr>
                <w:b w:val="false"/>
                <w:bCs w:val="false"/>
                <w:i w:val="false"/>
                <w:iCs w:val="false"/>
                <w:color w:val="D9D5C8"/>
                <w:sz w:val="18"/>
                <w:szCs w:val="18"/>
                <w:caps w:val="false"/>
                <w:rFonts w:ascii="Calibri" w:cs="Calibri" w:eastAsia="Calibri" w:hAnsi="Calibri"/>
              </w:rPr>
              <w:t xml:space="preserve">      ·   ES: cláusula de igual protección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“Equal Protection Clause”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Incorporation Doctrine</w:t>
            </w:r>
            <w:r>
              <w:rPr>
                <w:b w:val="false"/>
                <w:bCs w:val="false"/>
                <w:i w:val="false"/>
                <w:iCs w:val="false"/>
                <w:color w:val="D9D5C8"/>
                <w:sz w:val="18"/>
                <w:szCs w:val="18"/>
                <w:caps w:val="false"/>
                <w:rFonts w:ascii="Calibri" w:cs="Calibri" w:eastAsia="Calibri" w:hAnsi="Calibri"/>
              </w:rPr>
              <w:t xml:space="preserve">      ·   ES: doctrina de incorporación</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“Incorporation Doctrine”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Equal Protection Clause</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Incorporation Doctrine</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GC.26</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GC.26 — The 14th Amendment — Equal Protection &amp; Due Process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Equal Protection Clause · Due Process · Incorporation Doctrine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How did Brown v. Board of Education (1954) change the meaning of the Equal Protection Clause?</w:t>
            </w:r>
          </w:p>
          <w:p>
            <w:pPr>
              <w:spacing w:after="30"/>
              <w:ind w:left="360"/>
            </w:pPr>
            <w:r>
              <w:rPr>
                <w:b w:val="false"/>
                <w:bCs w:val="false"/>
                <w:i w:val="false"/>
                <w:iCs w:val="false"/>
                <w:color w:val="1A1A1A"/>
                <w:sz w:val="21"/>
                <w:szCs w:val="21"/>
                <w:caps w:val="false"/>
                <w:rFonts w:ascii="Calibri" w:cs="Calibri" w:eastAsia="Calibri" w:hAnsi="Calibri"/>
              </w:rPr>
              <w:t xml:space="preserve">A.   It upheld 'separate but equal' from Plessy</w:t>
            </w:r>
          </w:p>
          <w:p>
            <w:pPr>
              <w:spacing w:after="30"/>
              <w:ind w:left="360"/>
            </w:pPr>
            <w:r>
              <w:rPr>
                <w:b w:val="false"/>
                <w:bCs w:val="false"/>
                <w:i w:val="false"/>
                <w:iCs w:val="false"/>
                <w:color w:val="1A1A1A"/>
                <w:sz w:val="21"/>
                <w:szCs w:val="21"/>
                <w:caps w:val="false"/>
                <w:rFonts w:ascii="Calibri" w:cs="Calibri" w:eastAsia="Calibri" w:hAnsi="Calibri"/>
              </w:rPr>
              <w:t xml:space="preserve">B.   It ended the 14th Amendment</w:t>
            </w:r>
          </w:p>
          <w:p>
            <w:pPr>
              <w:spacing w:after="30"/>
              <w:ind w:left="360"/>
            </w:pPr>
            <w:r>
              <w:rPr>
                <w:b w:val="false"/>
                <w:bCs w:val="false"/>
                <w:i w:val="false"/>
                <w:iCs w:val="false"/>
                <w:color w:val="1A1A1A"/>
                <w:sz w:val="21"/>
                <w:szCs w:val="21"/>
                <w:caps w:val="false"/>
                <w:rFonts w:ascii="Calibri" w:cs="Calibri" w:eastAsia="Calibri" w:hAnsi="Calibri"/>
              </w:rPr>
              <w:t xml:space="preserve">C.   It ruled that 'separate educational facilities are inherently unequal,' overturning school segregation</w:t>
            </w:r>
          </w:p>
          <w:p>
            <w:pPr>
              <w:spacing w:after="30"/>
              <w:ind w:left="360"/>
            </w:pPr>
            <w:r>
              <w:rPr>
                <w:b w:val="false"/>
                <w:bCs w:val="false"/>
                <w:i w:val="false"/>
                <w:iCs w:val="false"/>
                <w:color w:val="1A1A1A"/>
                <w:sz w:val="21"/>
                <w:szCs w:val="21"/>
                <w:caps w:val="false"/>
                <w:rFonts w:ascii="Calibri" w:cs="Calibri" w:eastAsia="Calibri" w:hAnsi="Calibri"/>
              </w:rPr>
              <w:t xml:space="preserve">D.   It applied only to colleges, not public schools</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GC.26</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no state may 'deny to any person… the equal protection of the laws' — the basis of Brown v. Board.</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14th Amendment guarantee that government must follow fair procedures and respect basic rights before taking a person's life, liberty, or property.</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The principle that the 14th Amendment applies most Bill of Rights protections to the states; Gitlow v. New York (1925) was an early step.</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the 14th amendment — equal protection &amp; due process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the 14th amendment — equal protection &amp; due process was Equal Protection Clause: The 14th Amendment guarantee that no state may 'deny to any person… the equal protection of the laws' — the basis of Brown v. Board.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GC.26</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Equal Protection Clause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Due Process</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Incorporation Doctrine</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 What does 'incorporation' mean, and how did Gitlow start it?</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14th Amendment (1868) transformed the Constitution by promising that no state may deny any person 'due process of law' or 'the equal protection of the laws.' Its meaning has been fought over ever since. In Plessy v. Ferguson (1896) the Court allowed 'separate but equal' segregation — a reading that stood for decades. Gitlow v. New York (1925) began 'incorporation,' using the 14th Amendment's due process clause to apply Bill of Rights protections to the states. Then Brown v. Board of Education (1954) reversed Plessy, holding that 'separate educational facilities are inherently unequal' and violate equal protection. Decades later, Obergefell v. Hodges (2015) held that the due process and equal protection clauses protect the right to marry for same-sex couples. Across these cases, the same two clauses have been read in dramatically different ways — proof that the Constitution's meaning is decided by people, over time.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Equal Protection Clause, Due Process.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two guarantees does the 14th Amendment's Section 1 make to 'any person'?</w:t>
      </w:r>
    </w:p>
    <w:p>
      <w:pPr>
        <w:spacing w:after="100"/>
      </w:pPr>
      <w:r>
        <w:rPr>
          <w:b w:val="false"/>
          <w:bCs w:val="false"/>
          <w:i w:val="false"/>
          <w:iCs w:val="false"/>
          <w:color w:val="1A1A1A"/>
          <w:sz w:val="20"/>
          <w:szCs w:val="20"/>
          <w:caps w:val="false"/>
          <w:rFonts w:ascii="Calibri" w:cs="Calibri" w:eastAsia="Calibri" w:hAnsi="Calibri"/>
        </w:rPr>
        <w:t xml:space="preserve">2. How did Brown v. Board change the rule set by Plessy v. Ferguson?</w:t>
      </w:r>
    </w:p>
    <w:p>
      <w:pPr>
        <w:spacing w:after="100"/>
      </w:pPr>
      <w:r>
        <w:rPr>
          <w:b w:val="false"/>
          <w:bCs w:val="false"/>
          <w:i w:val="false"/>
          <w:iCs w:val="false"/>
          <w:color w:val="1A1A1A"/>
          <w:sz w:val="20"/>
          <w:szCs w:val="20"/>
          <w:caps w:val="false"/>
          <w:rFonts w:ascii="Calibri" w:cs="Calibri" w:eastAsia="Calibri" w:hAnsi="Calibri"/>
        </w:rPr>
        <w:t xml:space="preserve">3. What does 'incorporation' mean, and how did Gitlow start it?</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GC.26</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(document) — analyze it with HIPPO. Builds SSP.01–SSP.02.</w:t>
      </w:r>
    </w:p>
    <w:p>
      <w:pPr>
        <w:spacing w:after="60"/>
        <w:jc w:val="center"/>
      </w:pPr>
      <w:r>
        <w:drawing>
          <wp:inline distT="0" distB="0" distL="0" distR="0">
            <wp:extent cx="2857500" cy="3619500"/>
            <wp:effectExtent t="0" r="0" b="0" l="0"/>
            <wp:docPr id="1" name="14th Amendment (engrossed, page 1)" descr="Document: 14th Amendment (engrossed, page 1) (39th U.S. Congress (NARA), 1868)." title="14th Amendment (engrossed, p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857500" cy="3619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14th Amendment (engrossed, page 1) · 39th U.S. Congress (NARA) · 1868</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https://commons.wikimedia.org/wiki/File:14th_Amendment_Pg1of2_AC.jpg Public domain — U.S. gov document; NARA scan https://commons.wikimedia.org/wiki/File:14th_Amendment_Pg1of2_AC.jpg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GC.26</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u6-gc26-dok1-1 · pre-field-test]</w:t>
      </w:r>
    </w:p>
    <w:p>
      <w:pPr>
        <w:spacing w:after="100"/>
      </w:pPr>
      <w:r>
        <w:rPr>
          <w:b/>
          <w:bCs/>
          <w:i w:val="false"/>
          <w:iCs w:val="false"/>
          <w:color w:val="1A1A1A"/>
          <w:sz w:val="21"/>
          <w:szCs w:val="21"/>
          <w:caps w:val="false"/>
          <w:rFonts w:ascii="Calibri" w:cs="Calibri" w:eastAsia="Calibri" w:hAnsi="Calibri"/>
        </w:rPr>
        <w:t xml:space="preserve">Which case overturned the 'separate but equal' doctrine?</w:t>
      </w:r>
    </w:p>
    <w:p>
      <w:pPr>
        <w:spacing w:after="20"/>
        <w:ind w:left="260"/>
      </w:pPr>
      <w:r>
        <w:rPr>
          <w:b w:val="false"/>
          <w:bCs w:val="false"/>
          <w:i w:val="false"/>
          <w:iCs w:val="false"/>
          <w:color w:val="1A1A1A"/>
          <w:sz w:val="20"/>
          <w:szCs w:val="20"/>
          <w:caps w:val="false"/>
          <w:rFonts w:ascii="Calibri" w:cs="Calibri" w:eastAsia="Calibri" w:hAnsi="Calibri"/>
        </w:rPr>
        <w:t xml:space="preserve">A. Plessy v. Ferguson</w:t>
      </w:r>
    </w:p>
    <w:p>
      <w:pPr>
        <w:spacing w:after="20"/>
        <w:ind w:left="260"/>
      </w:pPr>
      <w:r>
        <w:rPr>
          <w:b w:val="false"/>
          <w:bCs w:val="false"/>
          <w:i w:val="false"/>
          <w:iCs w:val="false"/>
          <w:color w:val="1A1A1A"/>
          <w:sz w:val="20"/>
          <w:szCs w:val="20"/>
          <w:caps w:val="false"/>
          <w:rFonts w:ascii="Calibri" w:cs="Calibri" w:eastAsia="Calibri" w:hAnsi="Calibri"/>
        </w:rPr>
        <w:t xml:space="preserve">B. Brown v. Board of Education</w:t>
      </w:r>
    </w:p>
    <w:p>
      <w:pPr>
        <w:spacing w:after="20"/>
        <w:ind w:left="260"/>
      </w:pPr>
      <w:r>
        <w:rPr>
          <w:b w:val="false"/>
          <w:bCs w:val="false"/>
          <w:i w:val="false"/>
          <w:iCs w:val="false"/>
          <w:color w:val="1A1A1A"/>
          <w:sz w:val="20"/>
          <w:szCs w:val="20"/>
          <w:caps w:val="false"/>
          <w:rFonts w:ascii="Calibri" w:cs="Calibri" w:eastAsia="Calibri" w:hAnsi="Calibri"/>
        </w:rPr>
        <w:t xml:space="preserve">C. Gitlow v. New York</w:t>
      </w:r>
    </w:p>
    <w:p>
      <w:pPr>
        <w:spacing w:after="20"/>
        <w:ind w:left="260"/>
      </w:pPr>
      <w:r>
        <w:rPr>
          <w:b w:val="false"/>
          <w:bCs w:val="false"/>
          <w:i w:val="false"/>
          <w:iCs w:val="false"/>
          <w:color w:val="1A1A1A"/>
          <w:sz w:val="20"/>
          <w:szCs w:val="20"/>
          <w:caps w:val="false"/>
          <w:rFonts w:ascii="Calibri" w:cs="Calibri" w:eastAsia="Calibri" w:hAnsi="Calibri"/>
        </w:rPr>
        <w:t xml:space="preserve">D. Schenck v. United States</w:t>
      </w:r>
    </w:p>
    <w:p>
      <w:pPr>
        <w:spacing w:after="100"/>
      </w:pPr>
      <w:r>
        <w:rPr>
          <w:b/>
          <w:bCs/>
          <w:i w:val="false"/>
          <w:iCs w:val="false"/>
          <w:color w:val="6B7280"/>
          <w:sz w:val="18"/>
          <w:szCs w:val="18"/>
          <w:caps w:val="false"/>
          <w:rFonts w:ascii="Calibri" w:cs="Calibri" w:eastAsia="Calibri" w:hAnsi="Calibri"/>
        </w:rPr>
        <w:t xml:space="preserve">[DOK 3 · item u1-gc26-dok3-tc · pre-field-test]</w:t>
      </w:r>
    </w:p>
    <w:p>
      <w:pPr>
        <w:spacing w:after="100"/>
      </w:pPr>
      <w:r>
        <w:rPr>
          <w:b/>
          <w:bCs/>
          <w:i w:val="false"/>
          <w:iCs w:val="false"/>
          <w:color w:val="1A1A1A"/>
          <w:sz w:val="21"/>
          <w:szCs w:val="21"/>
          <w:caps w:val="false"/>
          <w:rFonts w:ascii="Calibri" w:cs="Calibri" w:eastAsia="Calibri" w:hAnsi="Calibri"/>
        </w:rPr>
        <w:t xml:space="preserve">How did Brown v. Board of Education (1954) change the meaning of the Equal Protection Clause?</w:t>
      </w:r>
    </w:p>
    <w:p>
      <w:pPr>
        <w:spacing w:after="20"/>
        <w:ind w:left="260"/>
      </w:pPr>
      <w:r>
        <w:rPr>
          <w:b w:val="false"/>
          <w:bCs w:val="false"/>
          <w:i w:val="false"/>
          <w:iCs w:val="false"/>
          <w:color w:val="1A1A1A"/>
          <w:sz w:val="20"/>
          <w:szCs w:val="20"/>
          <w:caps w:val="false"/>
          <w:rFonts w:ascii="Calibri" w:cs="Calibri" w:eastAsia="Calibri" w:hAnsi="Calibri"/>
        </w:rPr>
        <w:t xml:space="preserve">A. It upheld 'separate but equal' from Plessy</w:t>
      </w:r>
    </w:p>
    <w:p>
      <w:pPr>
        <w:spacing w:after="20"/>
        <w:ind w:left="260"/>
      </w:pPr>
      <w:r>
        <w:rPr>
          <w:b w:val="false"/>
          <w:bCs w:val="false"/>
          <w:i w:val="false"/>
          <w:iCs w:val="false"/>
          <w:color w:val="1A1A1A"/>
          <w:sz w:val="20"/>
          <w:szCs w:val="20"/>
          <w:caps w:val="false"/>
          <w:rFonts w:ascii="Calibri" w:cs="Calibri" w:eastAsia="Calibri" w:hAnsi="Calibri"/>
        </w:rPr>
        <w:t xml:space="preserve">B. It ended the 14th Amendment</w:t>
      </w:r>
    </w:p>
    <w:p>
      <w:pPr>
        <w:spacing w:after="20"/>
        <w:ind w:left="260"/>
      </w:pPr>
      <w:r>
        <w:rPr>
          <w:b w:val="false"/>
          <w:bCs w:val="false"/>
          <w:i w:val="false"/>
          <w:iCs w:val="false"/>
          <w:color w:val="1A1A1A"/>
          <w:sz w:val="20"/>
          <w:szCs w:val="20"/>
          <w:caps w:val="false"/>
          <w:rFonts w:ascii="Calibri" w:cs="Calibri" w:eastAsia="Calibri" w:hAnsi="Calibri"/>
        </w:rPr>
        <w:t xml:space="preserve">C. It ruled that 'separate educational facilities are inherently unequal,' overturning school segregation</w:t>
      </w:r>
    </w:p>
    <w:p>
      <w:pPr>
        <w:spacing w:after="20"/>
        <w:ind w:left="260"/>
      </w:pPr>
      <w:r>
        <w:rPr>
          <w:b w:val="false"/>
          <w:bCs w:val="false"/>
          <w:i w:val="false"/>
          <w:iCs w:val="false"/>
          <w:color w:val="1A1A1A"/>
          <w:sz w:val="20"/>
          <w:szCs w:val="20"/>
          <w:caps w:val="false"/>
          <w:rFonts w:ascii="Calibri" w:cs="Calibri" w:eastAsia="Calibri" w:hAnsi="Calibri"/>
        </w:rPr>
        <w:t xml:space="preserve">D. It applied only to colleges, not public schools</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GC.26</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How can the same Equal Protection Clause justify both Plessy (1896) and Brown (1954)? Defend a claim about how constitutional meaning changes.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GC.26</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pageBreakBefore/>
        <w:spacing w:before="220" w:after="90"/>
      </w:pPr>
      <w:r>
        <w:rPr>
          <w:b/>
          <w:bCs/>
          <w:i w:val="false"/>
          <w:iCs w:val="false"/>
          <w:color w:val="1B2A4A"/>
          <w:sz w:val="36"/>
          <w:szCs w:val="36"/>
          <w:caps w:val="false"/>
          <w:rFonts w:ascii="Calibri" w:cs="Calibri" w:eastAsia="Calibri" w:hAnsi="Calibri"/>
        </w:rPr>
        <w:t xml:space="preserve">Standard GC.27 — Rights for the Underserved</w:t>
      </w:r>
    </w:p>
    <w:p>
      <w:pPr>
        <w:spacing w:after="60"/>
      </w:pPr>
      <w:r>
        <w:rPr>
          <w:b/>
          <w:bCs/>
          <w:i w:val="false"/>
          <w:iCs w:val="false"/>
          <w:color w:val="1A1A1A"/>
          <w:sz w:val="22"/>
          <w:szCs w:val="22"/>
          <w:caps w:val="false"/>
          <w:rFonts w:ascii="Calibri" w:cs="Calibri" w:eastAsia="Calibri" w:hAnsi="Calibri"/>
        </w:rPr>
        <w:t xml:space="preserve">TN Academic Standard GC.27: </w:t>
      </w:r>
      <w:r>
        <w:rPr>
          <w:b w:val="false"/>
          <w:bCs w:val="false"/>
          <w:i w:val="false"/>
          <w:iCs w:val="false"/>
          <w:color w:val="1A1A1A"/>
          <w:sz w:val="22"/>
          <w:szCs w:val="22"/>
          <w:caps w:val="false"/>
          <w:rFonts w:ascii="Calibri" w:cs="Calibri" w:eastAsia="Calibri" w:hAnsi="Calibri"/>
        </w:rPr>
        <w:t xml:space="preserve">Identify and explain legislation and legal precedents that established rights for the underserved, including Title IX and the Americans with Disabilities Act. (H,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LEARNING TARGETS — I can…</w:t>
            </w:r>
          </w:p>
          <w:p>
            <w:pPr>
              <w:spacing w:after="40"/>
            </w:pPr>
            <w:r>
              <w:rPr>
                <w:b w:val="false"/>
                <w:bCs w:val="false"/>
                <w:i w:val="false"/>
                <w:iCs w:val="false"/>
                <w:color w:val="1A1A1A"/>
                <w:sz w:val="21"/>
                <w:szCs w:val="21"/>
                <w:caps w:val="false"/>
                <w:rFonts w:ascii="Calibri" w:cs="Calibri" w:eastAsia="Calibri" w:hAnsi="Calibri"/>
              </w:rPr>
              <w:t xml:space="preserve">•  I can identify legislation and legal precedents that expanded rights for underserved groups, including Title IX and the ADA..</w:t>
            </w:r>
          </w:p>
        </w:tc>
      </w:tr>
    </w:tbl>
    <w:p>
      <w:pPr>
        <w:spacing w:after="80"/>
      </w:pPr>
      <w:r>
        <w:rPr>
          <w:b/>
          <w:bCs/>
          <w:i w:val="false"/>
          <w:iCs w:val="false"/>
          <w:color w:val="1B2A4A"/>
          <w:sz w:val="19"/>
          <w:szCs w:val="19"/>
          <w:caps w:val="false"/>
          <w:rFonts w:ascii="Calibri" w:cs="Calibri" w:eastAsia="Calibri" w:hAnsi="Calibri"/>
        </w:rPr>
        <w:t xml:space="preserve">Lenses for this standard: </w:t>
      </w:r>
      <w:r>
        <w:rPr>
          <w:b w:val="false"/>
          <w:bCs w:val="false"/>
          <w:i w:val="false"/>
          <w:iCs w:val="false"/>
          <w:color w:val="6B7280"/>
          <w:sz w:val="19"/>
          <w:szCs w:val="19"/>
          <w:caps w:val="false"/>
          <w:rFonts w:ascii="Calibri" w:cs="Calibri" w:eastAsia="Calibri" w:hAnsi="Calibri"/>
        </w:rPr>
        <w:t xml:space="preserve">History (H) · Tennessee (T)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1B2A4A" w:sz="4"/>
              <w:left w:val="single" w:color="1B2A4A" w:sz="4"/>
              <w:bottom w:val="single" w:color="1B2A4A" w:sz="4"/>
              <w:right w:val="single" w:color="1B2A4A" w:sz="4"/>
            </w:tcBorders>
            <w:shd w:fill="1B2A4A" w:color="auto" w:val="clear"/>
            <w:tcMar>
              <w:top w:type="dxa" w:w="55"/>
              <w:left w:type="dxa" w:w="110"/>
              <w:bottom w:type="dxa" w:w="55"/>
              <w:right w:type="dxa" w:w="110"/>
            </w:tcMar>
          </w:tcPr>
          <w:p>
            <w:pPr>
              <w:spacing w:after="70"/>
            </w:pPr>
            <w:r>
              <w:rPr>
                <w:b/>
                <w:bCs/>
                <w:i w:val="false"/>
                <w:iCs w:val="false"/>
                <w:color w:val="C89B3C"/>
                <w:sz w:val="23"/>
                <w:szCs w:val="23"/>
                <w:caps w:val="false"/>
                <w:rFonts w:ascii="Calibri" w:cs="Calibri" w:eastAsia="Calibri" w:hAnsi="Calibri"/>
              </w:rPr>
              <w:t xml:space="preserve">CORE PATH — the same for every student</w:t>
            </w:r>
          </w:p>
          <w:p>
            <w:pPr>
              <w:spacing w:after="40"/>
            </w:pPr>
            <w:r>
              <w:rPr>
                <w:b w:val="false"/>
                <w:bCs w:val="false"/>
                <w:i w:val="false"/>
                <w:iCs w:val="false"/>
                <w:color w:val="FFFFFF"/>
                <w:sz w:val="22"/>
                <w:szCs w:val="22"/>
                <w:caps w:val="false"/>
                <w:rFonts w:ascii="Calibri" w:cs="Calibri" w:eastAsia="Calibri" w:hAnsi="Calibri"/>
              </w:rPr>
              <w:t xml:space="preserve">Every student works this standard at the same rigor: analyze the sources and vocabulary, then show what you learned on the Practice Quiz and the CER. Check yourself against the learning targets on the Cornell Notes page. Supports for each step are on the back of this page.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(self-direction)</w:t>
            </w:r>
          </w:p>
          <w:p>
            <w:pPr>
              <w:spacing w:after="40"/>
            </w:pPr>
            <w:r>
              <w:rPr>
                <w:b w:val="false"/>
                <w:bCs w:val="false"/>
                <w:i w:val="false"/>
                <w:iCs w:val="false"/>
                <w:color w:val="1A1A1A"/>
                <w:sz w:val="22"/>
                <w:szCs w:val="22"/>
                <w:caps w:val="false"/>
                <w:rFonts w:ascii="Calibri" w:cs="Calibri" w:eastAsia="Calibri" w:hAnsi="Calibri"/>
              </w:rPr>
              <w:t xml:space="preserve">My goal for this standard — what will I be able to do, and how will I show it?  (Need help? See the back of this page.)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think before you dig in</w:t>
            </w:r>
          </w:p>
          <w:p>
            <w:pPr>
              <w:spacing w:after="40"/>
            </w:pPr>
            <w:r>
              <w:rPr>
                <w:b w:val="false"/>
                <w:bCs w:val="false"/>
                <w:i w:val="false"/>
                <w:iCs w:val="false"/>
                <w:color w:val="1A1A1A"/>
                <w:sz w:val="22"/>
                <w:szCs w:val="22"/>
                <w:caps w:val="false"/>
                <w:rFonts w:ascii="Calibri" w:cs="Calibri" w:eastAsia="Calibri" w:hAnsi="Calibri"/>
              </w:rPr>
              <w:t xml:space="preserve">A law barely two sentences long transformed school sports for millions of girls. What other laws quietly widened the circle of who counts as equal?</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do you already know or wonder?</w:t>
            </w:r>
          </w:p>
          <w:p>
            <w:pPr>
              <w:spacing w:after="40"/>
            </w:pPr>
            <w:r>
              <w:rPr>
                <w:b w:val="false"/>
                <w:bCs w:val="false"/>
                <w:i w:val="false"/>
                <w:iCs w:val="false"/>
                <w:color w:val="1A1A1A"/>
                <w:sz w:val="22"/>
                <w:szCs w:val="22"/>
                <w:caps w:val="false"/>
                <w:rFonts w:ascii="Calibri" w:cs="Calibri" w:eastAsia="Calibri" w:hAnsi="Calibri"/>
              </w:rPr>
              <w:t xml:space="preserve">Jot what you already know or want to find out about this standard. You’ll come back to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before you dig in (you’ll revisit this at the end)</w:t>
            </w:r>
          </w:p>
          <w:p>
            <w:pPr>
              <w:spacing w:after="40"/>
            </w:pPr>
            <w:r>
              <w:rPr>
                <w:b w:val="false"/>
                <w:bCs w:val="false"/>
                <w:i w:val="false"/>
                <w:iCs w:val="false"/>
                <w:color w:val="1A1A1A"/>
                <w:sz w:val="22"/>
                <w:szCs w:val="22"/>
                <w:caps w:val="false"/>
                <w:rFonts w:ascii="Calibri" w:cs="Calibri" w:eastAsia="Calibri" w:hAnsi="Calibri"/>
              </w:rPr>
              <w:t xml:space="preserve">In your own words: what do you think this standard is about, and why might it matter to you or your community?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Getting Started — supports for this page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WHAT “CORE PATH” MEANS</w:t>
            </w:r>
          </w:p>
          <w:p>
            <w:pPr>
              <w:spacing w:after="40"/>
            </w:pPr>
            <w:r>
              <w:rPr>
                <w:b w:val="false"/>
                <w:bCs w:val="false"/>
                <w:i w:val="false"/>
                <w:iCs w:val="false"/>
                <w:color w:val="1A1A1A"/>
                <w:sz w:val="22"/>
                <w:szCs w:val="22"/>
                <w:caps w:val="false"/>
                <w:rFonts w:ascii="Calibri" w:cs="Calibri" w:eastAsia="Calibri" w:hAnsi="Calibri"/>
              </w:rPr>
              <w:t xml:space="preserve">Everyone learns the same standard at the same level. “Support options” are just extra ways in — sentence starters, an example, a partner, or recording your answer. They help you reach the bar; they never lower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SET YOUR GOAL — how to write a strong one</w:t>
            </w:r>
          </w:p>
          <w:p>
            <w:pPr>
              <w:spacing w:after="40"/>
            </w:pPr>
            <w:r>
              <w:rPr>
                <w:b/>
                <w:bCs/>
                <w:i w:val="false"/>
                <w:iCs w:val="false"/>
                <w:color w:val="1A1A1A"/>
                <w:sz w:val="21"/>
                <w:szCs w:val="21"/>
                <w:caps w:val="false"/>
                <w:rFonts w:ascii="Calibri" w:cs="Calibri" w:eastAsia="Calibri" w:hAnsi="Calibri"/>
              </w:rPr>
              <w:t xml:space="preserve">Example goal:  </w:t>
            </w:r>
            <w:r>
              <w:rPr>
                <w:b w:val="false"/>
                <w:bCs w:val="false"/>
                <w:i w:val="false"/>
                <w:iCs w:val="false"/>
                <w:color w:val="1A1A1A"/>
                <w:sz w:val="21"/>
                <w:szCs w:val="21"/>
                <w:caps w:val="false"/>
                <w:rFonts w:ascii="Calibri" w:cs="Calibri" w:eastAsia="Calibri" w:hAnsi="Calibri"/>
              </w:rPr>
              <w:t xml:space="preserve">“By the end of this standard I can explain ___ and prove it by scoring 80%+ on the quiz.”</w:t>
            </w:r>
          </w:p>
          <w:p>
            <w:pPr>
              <w:spacing w:after="40"/>
            </w:pPr>
            <w:r>
              <w:rPr>
                <w:b/>
                <w:bCs/>
                <w:i w:val="false"/>
                <w:iCs w:val="false"/>
                <w:color w:val="1A1A1A"/>
                <w:sz w:val="21"/>
                <w:szCs w:val="21"/>
                <w:caps w:val="false"/>
                <w:rFonts w:ascii="Calibri" w:cs="Calibri" w:eastAsia="Calibri" w:hAnsi="Calibri"/>
              </w:rPr>
              <w:t xml:space="preserve">How to build it:  </w:t>
            </w:r>
            <w:r>
              <w:rPr>
                <w:b w:val="false"/>
                <w:bCs w:val="false"/>
                <w:i w:val="false"/>
                <w:iCs w:val="false"/>
                <w:color w:val="1A1A1A"/>
                <w:sz w:val="21"/>
                <w:szCs w:val="21"/>
                <w:caps w:val="false"/>
                <w:rFonts w:ascii="Calibri" w:cs="Calibri" w:eastAsia="Calibri" w:hAnsi="Calibri"/>
              </w:rPr>
              <w:t xml:space="preserve">name what you’ll DO, then how you’ll PROVE it, then WHEN.</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want to be able to…”   “I’ll show it by…”   “By the end of this standard…”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HOOK — sentence starters</w:t>
            </w:r>
          </w:p>
          <w:p>
            <w:pPr>
              <w:spacing w:after="40"/>
            </w:pPr>
            <w:r>
              <w:rPr>
                <w:b w:val="false"/>
                <w:bCs w:val="false"/>
                <w:i w:val="false"/>
                <w:iCs w:val="false"/>
                <w:color w:val="1A1A1A"/>
                <w:sz w:val="22"/>
                <w:szCs w:val="22"/>
                <w:caps w:val="false"/>
                <w:rFonts w:ascii="Calibri" w:cs="Calibri" w:eastAsia="Calibri" w:hAnsi="Calibri"/>
              </w:rPr>
              <w:t xml:space="preserve">“I think the big question is…”   “This connects to…”   “I wonder why…”   “At first I believe…”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ACTIVATE — what it means &amp; how to answer</w:t>
            </w:r>
          </w:p>
          <w:p>
            <w:pPr>
              <w:spacing w:after="40"/>
            </w:pPr>
            <w:r>
              <w:rPr>
                <w:b/>
                <w:bCs/>
                <w:i w:val="false"/>
                <w:iCs w:val="false"/>
                <w:color w:val="1A1A1A"/>
                <w:sz w:val="21"/>
                <w:szCs w:val="21"/>
                <w:caps w:val="false"/>
                <w:rFonts w:ascii="Calibri" w:cs="Calibri" w:eastAsia="Calibri" w:hAnsi="Calibri"/>
              </w:rPr>
              <w:t xml:space="preserve">What it means:  </w:t>
            </w:r>
            <w:r>
              <w:rPr>
                <w:b w:val="false"/>
                <w:bCs w:val="false"/>
                <w:i w:val="false"/>
                <w:iCs w:val="false"/>
                <w:color w:val="1A1A1A"/>
                <w:sz w:val="21"/>
                <w:szCs w:val="21"/>
                <w:caps w:val="false"/>
                <w:rFonts w:ascii="Calibri" w:cs="Calibri" w:eastAsia="Calibri" w:hAnsi="Calibri"/>
              </w:rPr>
              <w:t xml:space="preserve">“Activate” = wake up what you ALREADY know before you learn more.</w:t>
            </w:r>
          </w:p>
          <w:p>
            <w:pPr>
              <w:spacing w:after="40"/>
            </w:pPr>
            <w:r>
              <w:rPr>
                <w:b/>
                <w:bCs/>
                <w:i w:val="false"/>
                <w:iCs w:val="false"/>
                <w:color w:val="1A1A1A"/>
                <w:sz w:val="21"/>
                <w:szCs w:val="21"/>
                <w:caps w:val="false"/>
                <w:rFonts w:ascii="Calibri" w:cs="Calibri" w:eastAsia="Calibri" w:hAnsi="Calibri"/>
              </w:rPr>
              <w:t xml:space="preserve">Sentence starters:  </w:t>
            </w:r>
            <w:r>
              <w:rPr>
                <w:b w:val="false"/>
                <w:bCs w:val="false"/>
                <w:i w:val="false"/>
                <w:iCs w:val="false"/>
                <w:color w:val="1A1A1A"/>
                <w:sz w:val="21"/>
                <w:szCs w:val="21"/>
                <w:caps w:val="false"/>
                <w:rFonts w:ascii="Calibri" w:cs="Calibri" w:eastAsia="Calibri" w:hAnsi="Calibri"/>
              </w:rPr>
              <w:t xml:space="preserve">“I already know…”   “This reminds me of…”   “I want to find out…”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IMPRESSIONS — what to write</w:t>
            </w:r>
          </w:p>
          <w:p>
            <w:pPr>
              <w:spacing w:after="40"/>
            </w:pPr>
            <w:r>
              <w:rPr>
                <w:b w:val="false"/>
                <w:bCs w:val="false"/>
                <w:i w:val="false"/>
                <w:iCs w:val="false"/>
                <w:color w:val="1A1A1A"/>
                <w:sz w:val="22"/>
                <w:szCs w:val="22"/>
                <w:caps w:val="false"/>
                <w:rFonts w:ascii="Calibri" w:cs="Calibri" w:eastAsia="Calibri" w:hAnsi="Calibri"/>
              </w:rPr>
              <w:t xml:space="preserve">Just your honest first take — there is no wrong answer. Say what you THINK the standard is about and why it might matter to you, your family, or your community. You’ll come back and improve it at the end.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WORDS TO WATCH FOR</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NOW TRY IT — draft your goal using a starter above</w:t>
            </w:r>
          </w:p>
          <w:p>
            <w:pPr>
              <w:spacing w:after="40"/>
            </w:pPr>
            <w:r>
              <w:rPr>
                <w:b w:val="false"/>
                <w:bCs w:val="false"/>
                <w:i w:val="false"/>
                <w:iCs w:val="false"/>
                <w:color w:val="1A1A1A"/>
                <w:sz w:val="22"/>
                <w:szCs w:val="22"/>
                <w:caps w:val="false"/>
                <w:rFonts w:ascii="Calibri" w:cs="Calibri" w:eastAsia="Calibri" w:hAnsi="Calibri"/>
              </w:rPr>
              <w:t xml:space="preserve">Write a first draft here, then copy your best version onto the front. Aim for: what you’ll DO + how you’ll PROVE it + WHEN.</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1 — Vocabulary (Part A: Reference / Word Bank) — GC.27</w:t>
      </w:r>
      <w:r>
        <w:rPr>
          <w:b/>
          <w:bCs/>
          <w:i w:val="false"/>
          <w:iCs w:val="false"/>
          <w:color w:val="C89B3C"/>
          <w:sz w:val="18"/>
          <w:szCs w:val="18"/>
          <w:caps w:val="false"/>
          <w:rFonts w:ascii="Calibri" w:cs="Calibri" w:eastAsia="Calibri" w:hAnsi="Calibri"/>
        </w:rPr>
        <w:t xml:space="preserve">    ⏱ ~10 min</w:t>
      </w:r>
    </w:p>
    <w:p>
      <w:pPr>
        <w:spacing w:after="60"/>
      </w:pPr>
      <w:r>
        <w:rPr>
          <w:b w:val="false"/>
          <w:bCs w:val="false"/>
          <w:i w:val="false"/>
          <w:iCs w:val="false"/>
          <w:color w:val="1A1A1A"/>
          <w:sz w:val="21"/>
          <w:szCs w:val="21"/>
          <w:caps w:val="false"/>
          <w:rFonts w:ascii="Calibri" w:cs="Calibri" w:eastAsia="Calibri" w:hAnsi="Calibri"/>
        </w:rPr>
        <w:t xml:space="preserve">Use this word bank throughout the standard. The Spanish column supports access, not translation of assessment.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723"/>
        <w:gridCol w:w="4347"/>
        <w:gridCol w:w="2722"/>
      </w:tblGrid>
      <w:tr>
        <w:trPr>
          <w:tblHeader/>
        </w:trPr>
        <w:tc>
          <w:tcPr>
            <w:tcW w:type="dxa" w:w="272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Term</w:t>
            </w:r>
          </w:p>
        </w:tc>
        <w:tc>
          <w:tcPr>
            <w:tcW w:type="dxa" w:w="434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Student-friendly meaning</w:t>
            </w:r>
          </w:p>
        </w:tc>
        <w:tc>
          <w:tcPr>
            <w:tcW w:type="dxa" w:w="272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Spanish</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Título IX</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Ley de Estadounidenses con Discapacidades</w:t>
            </w:r>
          </w:p>
        </w:tc>
      </w:tr>
      <w:tr>
        <w:tc>
          <w:tcPr>
            <w:tcW w:type="dxa" w:w="272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434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c>
          <w:tcPr>
            <w:tcW w:type="dxa" w:w="272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precedente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bCs/>
                <w:i w:val="false"/>
                <w:iCs w:val="false"/>
                <w:color w:val="1A1A1A"/>
                <w:sz w:val="22"/>
                <w:szCs w:val="22"/>
                <w:caps w:val="false"/>
                <w:rFonts w:ascii="Calibri" w:cs="Calibri" w:eastAsia="Calibri" w:hAnsi="Calibri"/>
              </w:rPr>
              <w:t xml:space="preserve">Pronunciations: </w:t>
            </w:r>
            <w:r>
              <w:rPr>
                <w:b w:val="false"/>
                <w:bCs w:val="false"/>
                <w:i w:val="false"/>
                <w:iCs w:val="false"/>
                <w:color w:val="1A1A1A"/>
                <w:sz w:val="22"/>
                <w:szCs w:val="22"/>
                <w:caps w:val="false"/>
                <w:rFonts w:ascii="Calibri" w:cs="Calibri" w:eastAsia="Calibri" w:hAnsi="Calibri"/>
              </w:rPr>
              <w:t xml:space="preserve">Title IX (TY-tul nine); Americans with Disabilities Act (ADA) (uh-BIL-ih-teez); Precedent (PRESS-ih-dent).</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VOCABULARY SELF-CHECK · Knowledge Rating</w:t>
            </w:r>
          </w:p>
          <w:p>
            <w:pPr>
              <w:spacing w:after="40"/>
            </w:pPr>
            <w:r>
              <w:rPr>
                <w:b w:val="false"/>
                <w:bCs w:val="false"/>
                <w:i w:val="false"/>
                <w:iCs w:val="false"/>
                <w:color w:val="1A1A1A"/>
                <w:sz w:val="22"/>
                <w:szCs w:val="22"/>
                <w:caps w:val="false"/>
                <w:rFonts w:ascii="Calibri" w:cs="Calibri" w:eastAsia="Calibri" w:hAnsi="Calibri"/>
              </w:rPr>
              <w:t xml:space="preserve">Rate each term NOW in pencil, then again at the END — growth is the goal; no penalty for “never seen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2"/>
        <w:gridCol w:w="1675"/>
        <w:gridCol w:w="1675"/>
        <w:gridCol w:w="1675"/>
        <w:gridCol w:w="1675"/>
      </w:tblGrid>
      <w:tr>
        <w:trPr>
          <w:tblHeader/>
        </w:trPr>
        <w:tc>
          <w:tcPr>
            <w:tcW w:type="dxa" w:w="30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jc w:val="left"/>
            </w:pPr>
            <w:r>
              <w:rPr>
                <w:b/>
                <w:bCs/>
                <w:i w:val="false"/>
                <w:iCs w:val="false"/>
                <w:color w:val="1B2A4A"/>
                <w:sz w:val="15"/>
                <w:szCs w:val="15"/>
                <w:caps w:val="false"/>
                <w:rFonts w:ascii="Calibri" w:cs="Calibri" w:eastAsia="Calibri" w:hAnsi="Calibri"/>
              </w:rPr>
              <w:t xml:space="preserve">Term</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1 · never seen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2 · heard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3 · can use it</w:t>
            </w:r>
          </w:p>
        </w:tc>
        <w:tc>
          <w:tcPr>
            <w:tcW w:type="dxa" w:w="167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jc w:val="center"/>
            </w:pPr>
            <w:r>
              <w:rPr>
                <w:b/>
                <w:bCs/>
                <w:i w:val="false"/>
                <w:iCs w:val="false"/>
                <w:color w:val="FFFFFF"/>
                <w:sz w:val="15"/>
                <w:szCs w:val="15"/>
                <w:caps w:val="false"/>
                <w:rFonts w:ascii="Calibri" w:cs="Calibri" w:eastAsia="Calibri" w:hAnsi="Calibri"/>
              </w:rPr>
              <w:t xml:space="preserve">4 · can teach it</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Title IX</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Americans with Disabilities Act (ADA)</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18"/>
                <w:szCs w:val="18"/>
                <w:caps w:val="false"/>
                <w:rFonts w:ascii="Calibri" w:cs="Calibri" w:eastAsia="Calibri" w:hAnsi="Calibri"/>
              </w:rPr>
              <w:t xml:space="preserve">Precedent</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167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before="60" w:after="40"/>
      </w:pPr>
      <w:r>
        <w:rPr>
          <w:b/>
          <w:bCs/>
          <w:i w:val="false"/>
          <w:iCs w:val="false"/>
          <w:color w:val="1B2A4A"/>
          <w:sz w:val="20"/>
          <w:szCs w:val="20"/>
          <w:caps w:val="false"/>
          <w:rFonts w:ascii="Calibri" w:cs="Calibri" w:eastAsia="Calibri" w:hAnsi="Calibri"/>
        </w:rPr>
        <w:t xml:space="preserve">MAKE IT YOURS (RESPONSE CHOICE): </w:t>
      </w:r>
      <w:r>
        <w:rPr>
          <w:b w:val="false"/>
          <w:bCs w:val="false"/>
          <w:i w:val="false"/>
          <w:iCs w:val="false"/>
          <w:color w:val="1A1A1A"/>
          <w:sz w:val="20"/>
          <w:szCs w:val="20"/>
          <w:caps w:val="false"/>
          <w:rFonts w:ascii="Calibri" w:cs="Calibri" w:eastAsia="Calibri" w:hAnsi="Calibri"/>
        </w:rPr>
        <w:t xml:space="preserve">choose ONE term above and show you own it — write a sentence, sketch it, or give a real-world example.</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bCs/>
          <w:i w:val="false"/>
          <w:iCs w:val="false"/>
          <w:color w:val="1B2A4A"/>
          <w:sz w:val="21"/>
          <w:szCs w:val="21"/>
          <w:caps w:val="false"/>
          <w:rFonts w:ascii="Calibri" w:cs="Calibri" w:eastAsia="Calibri" w:hAnsi="Calibri"/>
        </w:rPr>
        <w:t xml:space="preserve">QUICK WRITE</w:t>
      </w:r>
    </w:p>
    <w:p>
      <w:pPr>
        <w:spacing w:after="100"/>
      </w:pPr>
      <w:r>
        <w:rPr>
          <w:b w:val="false"/>
          <w:bCs w:val="false"/>
          <w:i w:val="false"/>
          <w:iCs w:val="false"/>
          <w:color w:val="1A1A1A"/>
          <w:sz w:val="20"/>
          <w:szCs w:val="20"/>
          <w:caps w:val="false"/>
          <w:rFonts w:ascii="Calibri" w:cs="Calibri" w:eastAsia="Calibri" w:hAnsi="Calibri"/>
        </w:rPr>
        <w:t xml:space="preserve">Which of these terms do you think will matter MOST for this standard, and why? You’ll revisit this at the end.</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Vocabulary Studio (Frayer-inspired) — GC.27</w:t>
      </w:r>
      <w:r>
        <w:rPr>
          <w:b/>
          <w:bCs/>
          <w:i w:val="false"/>
          <w:iCs w:val="false"/>
          <w:color w:val="C89B3C"/>
          <w:sz w:val="18"/>
          <w:szCs w:val="18"/>
          <w:caps w:val="false"/>
          <w:rFonts w:ascii="Calibri" w:cs="Calibri" w:eastAsia="Calibri" w:hAnsi="Calibri"/>
        </w:rPr>
        <w:t xml:space="preserve">    ⏱ ~7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 — three ways to complete each studio</w:t>
            </w:r>
          </w:p>
          <w:p>
            <w:pPr>
              <w:spacing w:after="40"/>
            </w:pPr>
            <w:r>
              <w:rPr>
                <w:b/>
                <w:bCs/>
                <w:i w:val="false"/>
                <w:iCs w:val="false"/>
                <w:color w:val="1A1A1A"/>
                <w:sz w:val="21"/>
                <w:szCs w:val="21"/>
                <w:caps w:val="false"/>
                <w:rFonts w:ascii="Calibri" w:cs="Calibri" w:eastAsia="Calibri" w:hAnsi="Calibri"/>
              </w:rPr>
              <w:t xml:space="preserve">WRITE:  </w:t>
            </w:r>
            <w:r>
              <w:rPr>
                <w:b w:val="false"/>
                <w:bCs w:val="false"/>
                <w:i w:val="false"/>
                <w:iCs w:val="false"/>
                <w:color w:val="1A1A1A"/>
                <w:sz w:val="21"/>
                <w:szCs w:val="21"/>
                <w:caps w:val="false"/>
                <w:rFonts w:ascii="Calibri" w:cs="Calibri" w:eastAsia="Calibri" w:hAnsi="Calibri"/>
              </w:rPr>
              <w:t xml:space="preserve">fill in the four boxes below in your own words.</w:t>
            </w:r>
          </w:p>
          <w:p>
            <w:pPr>
              <w:spacing w:after="40"/>
            </w:pPr>
            <w:r>
              <w:rPr>
                <w:b/>
                <w:bCs/>
                <w:i w:val="false"/>
                <w:iCs w:val="false"/>
                <w:color w:val="1A1A1A"/>
                <w:sz w:val="21"/>
                <w:szCs w:val="21"/>
                <w:caps w:val="false"/>
                <w:rFonts w:ascii="Calibri" w:cs="Calibri" w:eastAsia="Calibri" w:hAnsi="Calibri"/>
              </w:rPr>
              <w:t xml:space="preserve">SAY IT:  </w:t>
            </w:r>
            <w:r>
              <w:rPr>
                <w:b w:val="false"/>
                <w:bCs w:val="false"/>
                <w:i w:val="false"/>
                <w:iCs w:val="false"/>
                <w:color w:val="1A1A1A"/>
                <w:sz w:val="21"/>
                <w:szCs w:val="21"/>
                <w:caps w:val="false"/>
                <w:rFonts w:ascii="Calibri" w:cs="Calibri" w:eastAsia="Calibri" w:hAnsi="Calibri"/>
              </w:rPr>
              <w:t xml:space="preserve">explain the term aloud to a partner or your teacher, or record a short voice note — say the term, its meaning, and one example.</w:t>
            </w:r>
          </w:p>
          <w:p>
            <w:pPr>
              <w:spacing w:after="40"/>
            </w:pPr>
            <w:r>
              <w:rPr>
                <w:b/>
                <w:bCs/>
                <w:i w:val="false"/>
                <w:iCs w:val="false"/>
                <w:color w:val="1A1A1A"/>
                <w:sz w:val="21"/>
                <w:szCs w:val="21"/>
                <w:caps w:val="false"/>
                <w:rFonts w:ascii="Calibri" w:cs="Calibri" w:eastAsia="Calibri" w:hAnsi="Calibri"/>
              </w:rPr>
              <w:t xml:space="preserve">DIAGRAM:  </w:t>
            </w:r>
            <w:r>
              <w:rPr>
                <w:b w:val="false"/>
                <w:bCs w:val="false"/>
                <w:i w:val="false"/>
                <w:iCs w:val="false"/>
                <w:color w:val="1A1A1A"/>
                <w:sz w:val="21"/>
                <w:szCs w:val="21"/>
                <w:caps w:val="false"/>
                <w:rFonts w:ascii="Calibri" w:cs="Calibri" w:eastAsia="Calibri" w:hAnsi="Calibri"/>
              </w:rPr>
              <w:t xml:space="preserve">sketch or map the term in the Sketch Studio on the back of this page.</w:t>
            </w:r>
          </w:p>
        </w:tc>
      </w:tr>
    </w:tbl>
    <w:p>
      <w:pPr>
        <w:spacing w:after="3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1</w:t>
            </w:r>
            <w:r>
              <w:rPr>
                <w:b/>
                <w:bCs/>
                <w:i w:val="false"/>
                <w:iCs w:val="false"/>
                <w:color w:val="FFFFFF"/>
                <w:sz w:val="24"/>
                <w:szCs w:val="24"/>
                <w:caps w:val="false"/>
                <w:rFonts w:ascii="Calibri" w:cs="Calibri" w:eastAsia="Calibri" w:hAnsi="Calibri"/>
              </w:rPr>
              <w:t xml:space="preserve">     Title IX</w:t>
            </w:r>
            <w:r>
              <w:rPr>
                <w:b w:val="false"/>
                <w:bCs w:val="false"/>
                <w:i w:val="false"/>
                <w:iCs w:val="false"/>
                <w:color w:val="D9D5C8"/>
                <w:sz w:val="18"/>
                <w:szCs w:val="18"/>
                <w:caps w:val="false"/>
                <w:rFonts w:ascii="Calibri" w:cs="Calibri" w:eastAsia="Calibri" w:hAnsi="Calibri"/>
              </w:rPr>
              <w:t xml:space="preserve">      ·   ES: Título IX</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“Title IX”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C89B3C"/>
                <w:sz w:val="16"/>
                <w:szCs w:val="16"/>
                <w:caps w:val="false"/>
                <w:rFonts w:ascii="Calibri" w:cs="Calibri" w:eastAsia="Calibri" w:hAnsi="Calibri"/>
              </w:rPr>
              <w:t xml:space="preserve">PRIORITY TERM 2</w:t>
            </w:r>
            <w:r>
              <w:rPr>
                <w:b/>
                <w:bCs/>
                <w:i w:val="false"/>
                <w:iCs w:val="false"/>
                <w:color w:val="FFFFFF"/>
                <w:sz w:val="24"/>
                <w:szCs w:val="24"/>
                <w:caps w:val="false"/>
                <w:rFonts w:ascii="Calibri" w:cs="Calibri" w:eastAsia="Calibri" w:hAnsi="Calibri"/>
              </w:rPr>
              <w:t xml:space="preserve">     Americans with Disabilities Act (ADA)</w:t>
            </w:r>
            <w:r>
              <w:rPr>
                <w:b w:val="false"/>
                <w:bCs w:val="false"/>
                <w:i w:val="false"/>
                <w:iCs w:val="false"/>
                <w:color w:val="D9D5C8"/>
                <w:sz w:val="18"/>
                <w:szCs w:val="18"/>
                <w:caps w:val="false"/>
                <w:rFonts w:ascii="Calibri" w:cs="Calibri" w:eastAsia="Calibri" w:hAnsi="Calibri"/>
              </w:rPr>
              <w:t xml:space="preserve">      ·   ES: Ley de Estadounidenses con Discapacidades</w:t>
            </w:r>
          </w:p>
        </w:tc>
      </w:tr>
    </w:tbl>
    <w:p>
      <w:pPr>
        <w:spacing w:after="100"/>
      </w:pPr>
      <w:r>
        <w:rPr>
          <w:b/>
          <w:bCs/>
          <w:i w:val="false"/>
          <w:iCs w:val="false"/>
          <w:color w:val="1A1A1A"/>
          <w:sz w:val="20"/>
          <w:szCs w:val="20"/>
          <w:caps w:val="false"/>
          <w:rFonts w:ascii="Calibri" w:cs="Calibri" w:eastAsia="Calibri" w:hAnsi="Calibri"/>
        </w:rPr>
        <w:t xml:space="preserve">Word-bank meaning to build on: </w:t>
      </w: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tblHeader/>
        </w:trPr>
        <w:tc>
          <w:tcPr>
            <w:tcW w:type="dxa" w:w="48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Definition (in your own words)</w:t>
            </w:r>
          </w:p>
        </w:tc>
        <w:tc>
          <w:tcPr>
            <w:tcW w:type="dxa" w:w="48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Characteristics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Examples</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Non-examples</w:t>
            </w:r>
          </w:p>
        </w:tc>
      </w:tr>
      <w:t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Use it to explain</w:t>
            </w:r>
          </w:p>
          <w:p>
            <w:pPr>
              <w:spacing w:after="40"/>
            </w:pPr>
            <w:r>
              <w:rPr>
                <w:b w:val="false"/>
                <w:bCs w:val="false"/>
                <w:i w:val="false"/>
                <w:iCs w:val="false"/>
                <w:color w:val="1A1A1A"/>
                <w:sz w:val="22"/>
                <w:szCs w:val="22"/>
                <w:caps w:val="false"/>
                <w:rFonts w:ascii="Calibri" w:cs="Calibri" w:eastAsia="Calibri" w:hAnsi="Calibri"/>
              </w:rPr>
              <w:t xml:space="preserve">Write one sentence that uses “Americans with Disabilities Act (ADA)” to explain this standard.</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after="5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(UDL · build understanding)</w:t>
            </w:r>
          </w:p>
          <w:p>
            <w:pPr>
              <w:spacing w:after="40"/>
            </w:pPr>
            <w:r>
              <w:rPr>
                <w:b w:val="false"/>
                <w:bCs w:val="false"/>
                <w:i w:val="false"/>
                <w:iCs w:val="false"/>
                <w:color w:val="1A1A1A"/>
                <w:sz w:val="22"/>
                <w:szCs w:val="22"/>
                <w:caps w:val="false"/>
                <w:rFonts w:ascii="Calibri" w:cs="Calibri" w:eastAsia="Calibri" w:hAnsi="Calibri"/>
              </w:rPr>
              <w:t xml:space="preserve">How do these priority terms fit together? Write how one leads to or affects another on the lines — or map it in the Sketch Studio on the back.</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2 — Sketch Studio (draw it or say it)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SAY IT — pick one way to explain your terms aloud</w:t>
            </w:r>
          </w:p>
          <w:p>
            <w:pPr>
              <w:spacing w:after="40"/>
            </w:pPr>
            <w:r>
              <w:rPr>
                <w:b w:val="false"/>
                <w:bCs w:val="false"/>
                <w:i w:val="false"/>
                <w:iCs w:val="false"/>
                <w:color w:val="1A1A1A"/>
                <w:sz w:val="22"/>
                <w:szCs w:val="22"/>
                <w:caps w:val="false"/>
                <w:rFonts w:ascii="Calibri" w:cs="Calibri" w:eastAsia="Calibri" w:hAnsi="Calibri"/>
              </w:rPr>
              <w:t xml:space="preserve">Explain each priority term to a shoulder partner, then have them explain one back to you.</w:t>
            </w:r>
          </w:p>
          <w:p>
            <w:pPr>
              <w:spacing w:after="40"/>
            </w:pPr>
            <w:r>
              <w:rPr>
                <w:b w:val="false"/>
                <w:bCs w:val="false"/>
                <w:i w:val="false"/>
                <w:iCs w:val="false"/>
                <w:color w:val="1A1A1A"/>
                <w:sz w:val="22"/>
                <w:szCs w:val="22"/>
                <w:caps w:val="false"/>
                <w:rFonts w:ascii="Calibri" w:cs="Calibri" w:eastAsia="Calibri" w:hAnsi="Calibri"/>
              </w:rPr>
              <w:t xml:space="preserve">Or explain a term to your teacher during check-in.</w:t>
            </w:r>
          </w:p>
          <w:p>
            <w:pPr>
              <w:spacing w:after="40"/>
            </w:pPr>
            <w:r>
              <w:rPr>
                <w:b w:val="false"/>
                <w:bCs w:val="false"/>
                <w:i w:val="false"/>
                <w:iCs w:val="false"/>
                <w:color w:val="1A1A1A"/>
                <w:sz w:val="22"/>
                <w:szCs w:val="22"/>
                <w:caps w:val="false"/>
                <w:rFonts w:ascii="Calibri" w:cs="Calibri" w:eastAsia="Calibri" w:hAnsi="Calibri"/>
              </w:rPr>
              <w:t xml:space="preserve">Or record a 20–30 second voice note: say the term, what it means, and one real example.</w:t>
            </w:r>
          </w:p>
          <w:p>
            <w:pPr>
              <w:spacing w:after="40"/>
            </w:pPr>
            <w:r>
              <w:rPr>
                <w:b w:val="false"/>
                <w:bCs w:val="false"/>
                <w:i w:val="false"/>
                <w:iCs w:val="false"/>
                <w:color w:val="1A1A1A"/>
                <w:sz w:val="22"/>
                <w:szCs w:val="22"/>
                <w:caps w:val="false"/>
                <w:rFonts w:ascii="Calibri" w:cs="Calibri" w:eastAsia="Calibri" w:hAnsi="Calibri"/>
              </w:rPr>
              <w:t xml:space="preserve">Or stand and share one term with the class.</w:t>
            </w:r>
          </w:p>
        </w:tc>
      </w:tr>
    </w:tbl>
    <w:p>
      <w:pPr>
        <w:spacing w:after="4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Title IX</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9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DIAGRAM: Americans with Disabilities Act (ADA)</w:t>
            </w:r>
          </w:p>
          <w:p>
            <w:pPr>
              <w:spacing w:after="40"/>
            </w:pPr>
            <w:r>
              <w:rPr>
                <w:b w:val="false"/>
                <w:bCs w:val="false"/>
                <w:i w:val="false"/>
                <w:iCs w:val="false"/>
                <w:color w:val="1A1A1A"/>
                <w:sz w:val="22"/>
                <w:szCs w:val="22"/>
                <w:caps w:val="false"/>
                <w:rFonts w:ascii="Calibri" w:cs="Calibri" w:eastAsia="Calibri" w:hAnsi="Calibri"/>
              </w:rPr>
              <w:t xml:space="preserve">Draw, map, or symbolize this term — a picture, an icon, a quick web, or an example scene. Label your drawing.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1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spacing w:after="7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THE TERMS — concept map</w:t>
            </w:r>
          </w:p>
          <w:p>
            <w:pPr>
              <w:spacing w:after="40"/>
            </w:pPr>
            <w:r>
              <w:rPr>
                <w:b w:val="false"/>
                <w:bCs w:val="false"/>
                <w:i w:val="false"/>
                <w:iCs w:val="false"/>
                <w:color w:val="1A1A1A"/>
                <w:sz w:val="22"/>
                <w:szCs w:val="22"/>
                <w:caps w:val="false"/>
                <w:rFonts w:ascii="Calibri" w:cs="Calibri" w:eastAsia="Calibri" w:hAnsi="Calibri"/>
              </w:rPr>
              <w:t xml:space="preserve">Put both terms in the box and draw arrows to show how one leads to, needs, or affects the other. Write a few words on each arrow.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50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3 — Direct Teaching Cornell Notes — GC.27</w:t>
      </w:r>
      <w:r>
        <w:rPr>
          <w:b/>
          <w:bCs/>
          <w:i w:val="false"/>
          <w:iCs w:val="false"/>
          <w:color w:val="C89B3C"/>
          <w:sz w:val="18"/>
          <w:szCs w:val="18"/>
          <w:caps w:val="false"/>
          <w:rFonts w:ascii="Calibri" w:cs="Calibri" w:eastAsia="Calibri" w:hAnsi="Calibri"/>
        </w:rPr>
        <w:t xml:space="preserve">    ⏱ ~20 min</w:t>
      </w:r>
    </w:p>
    <w:p>
      <w:pPr>
        <w:spacing w:after="100"/>
      </w:pPr>
      <w:r>
        <w:rPr>
          <w:b w:val="false"/>
          <w:bCs w:val="false"/>
          <w:i w:val="false"/>
          <w:iCs w:val="false"/>
          <w:color w:val="6B7280"/>
          <w:sz w:val="20"/>
          <w:szCs w:val="20"/>
          <w:caps w:val="false"/>
          <w:rFonts w:ascii="Calibri" w:cs="Calibri" w:eastAsia="Calibri" w:hAnsi="Calibri"/>
        </w:rPr>
        <w:t xml:space="preserve">GC.27 — Rights for the Underserved  •  Lean Student Deck slides 2–8  •  direct-teaching slides 4–6</w:t>
      </w:r>
    </w:p>
    <w:p>
      <w:pPr>
        <w:spacing w:after="60"/>
      </w:pPr>
      <w:r>
        <w:rPr>
          <w:b w:val="false"/>
          <w:bCs w:val="false"/>
          <w:i/>
          <w:iCs/>
          <w:color w:val="6B7280"/>
          <w:sz w:val="19"/>
          <w:szCs w:val="19"/>
          <w:caps w:val="false"/>
          <w:rFonts w:ascii="Calibri" w:cs="Calibri" w:eastAsia="Calibri" w:hAnsi="Calibri"/>
        </w:rPr>
        <w:t xml:space="preserve">Your learning targets are on this standard’s opening page — take notes that help you meet them.</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blHeader/>
        </w:trPr>
        <w:tc>
          <w:tcPr>
            <w:tcW w:type="dxa" w:w="2448"/>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Guiding cues</w:t>
            </w:r>
          </w:p>
        </w:tc>
        <w:tc>
          <w:tcPr>
            <w:tcW w:type="dxa" w:w="7344"/>
            <w:tcBorders>
              <w:top w:val="single" w:color="C9C2B4" w:sz="4"/>
              <w:left w:val="single" w:color="C9C2B4" w:sz="4"/>
              <w:bottom w:val="single" w:color="C9C2B4" w:sz="4"/>
              <w:right w:val="single" w:color="C9C2B4" w:sz="4"/>
            </w:tcBorders>
            <w:shd w:fill="1B2A4A" w:color="auto" w:val="clear"/>
            <w:tcMar>
              <w:top w:type="dxa" w:w="50"/>
              <w:left w:type="dxa" w:w="80"/>
              <w:bottom w:type="dxa" w:w="50"/>
              <w:right w:type="dxa" w:w="80"/>
            </w:tcMar>
          </w:tcPr>
          <w:p>
            <w:pPr>
              <w:spacing w:after="0"/>
            </w:pPr>
            <w:r>
              <w:rPr>
                <w:b/>
                <w:bCs/>
                <w:i w:val="false"/>
                <w:iCs w:val="false"/>
                <w:color w:val="FFFFFF"/>
                <w:sz w:val="20"/>
                <w:szCs w:val="20"/>
                <w:caps w:val="false"/>
                <w:rFonts w:ascii="Calibri" w:cs="Calibri" w:eastAsia="Calibri" w:hAnsi="Calibri"/>
              </w:rPr>
              <w:t xml:space="preserve">My notes — write your notes here</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idea of this standard?</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amendment or case that supports it?</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One real situation it applies to?</w:t>
            </w:r>
          </w:p>
        </w:tc>
        <w:tc>
          <w:tcPr>
            <w:tcW w:type="dxa" w:w="7344"/>
            <w:tcBorders>
              <w:top w:val="single" w:color="C9C2B4" w:sz="4"/>
              <w:left w:val="single" w:color="C9C2B4" w:sz="4"/>
              <w:bottom w:val="single" w:color="C9C2B4" w:sz="4"/>
              <w:right w:val="single" w:color="C9C2B4" w:sz="4"/>
            </w:tcBorders>
            <w:shd w:fill="F7F5E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rPr>
          <w:cantSplit/>
          <w:trHeight w:val="520" w:hRule="atLeast"/>
        </w:trPr>
        <w:tc>
          <w:tcPr>
            <w:tcW w:type="dxa" w:w="2448"/>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spacing w:after="40"/>
            </w:pPr>
            <w:r>
              <w:rPr>
                <w:b w:val="false"/>
                <w:bCs w:val="false"/>
                <w:i w:val="false"/>
                <w:iCs w:val="false"/>
                <w:color w:val="1B2A4A"/>
                <w:sz w:val="21"/>
                <w:szCs w:val="21"/>
                <w:caps w:val="false"/>
                <w:rFonts w:ascii="Calibri" w:cs="Calibri" w:eastAsia="Calibri" w:hAnsi="Calibri"/>
              </w:rPr>
              <w:t xml:space="preserve">Key terms →</w:t>
            </w:r>
          </w:p>
        </w:tc>
        <w:tc>
          <w:tcPr>
            <w:tcW w:type="dxa" w:w="7344"/>
            <w:tcBorders>
              <w:top w:val="single" w:color="C9C2B4" w:sz="4"/>
              <w:left w:val="single" w:color="C9C2B4" w:sz="4"/>
              <w:bottom w:val="single" w:color="C9C2B4" w:sz="4"/>
              <w:right w:val="single" w:color="C9C2B4" w:sz="4"/>
            </w:tcBorders>
            <w:shd w:fill="FFFFFF" w:color="auto" w:val="clear"/>
            <w:tcMar>
              <w:top w:type="dxa" w:w="50"/>
              <w:left w:type="dxa" w:w="80"/>
              <w:bottom w:type="dxa" w:w="50"/>
              <w:right w:type="dxa" w:w="8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DOODLE ZONE — draw your thinking (UDL · another way in)</w:t>
            </w:r>
          </w:p>
          <w:p>
            <w:pPr>
              <w:spacing w:after="40"/>
            </w:pPr>
            <w:r>
              <w:rPr>
                <w:b w:val="false"/>
                <w:bCs w:val="false"/>
                <w:i w:val="false"/>
                <w:iCs w:val="false"/>
                <w:color w:val="1A1A1A"/>
                <w:sz w:val="22"/>
                <w:szCs w:val="22"/>
                <w:caps w:val="false"/>
                <w:rFonts w:ascii="Calibri" w:cs="Calibri" w:eastAsia="Calibri" w:hAnsi="Calibri"/>
              </w:rPr>
              <w:t xml:space="preserve">Need another way in? Sketch the key idea, a quick timeline, or how the pieces connect. Words optional.</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rPr>
          <w:trHeight w:val="2050" w:hRule="atLeast"/>
        </w:trP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12"/>
                <w:szCs w:val="12"/>
                <w:caps w:val="false"/>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Cornell Notes — keep going, then process &amp; check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UDL · CHOOSE HOW YOU CAPTURE IDEAS (same target for everyone)</w:t>
            </w:r>
          </w:p>
          <w:p>
            <w:pPr>
              <w:spacing w:after="40"/>
            </w:pPr>
            <w:r>
              <w:rPr>
                <w:b w:val="false"/>
                <w:bCs w:val="false"/>
                <w:i w:val="false"/>
                <w:iCs w:val="false"/>
                <w:color w:val="1A1A1A"/>
                <w:sz w:val="22"/>
                <w:szCs w:val="22"/>
                <w:caps w:val="false"/>
                <w:rFonts w:ascii="Calibri" w:cs="Calibri" w:eastAsia="Calibri" w:hAnsi="Calibri"/>
              </w:rPr>
              <w:t xml:space="preserve">Keep going with your notes: WRITE on the lines, DRAW or diagram in the box, or do both — your choice. You may also record your notes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896"/>
        <w:gridCol w:w="4896"/>
      </w:tblGrid>
      <w:tr>
        <w:trPr>
          <w:cantSplit/>
          <w:trHeight w:val="2700" w:hRule="atLeast"/>
        </w:trPr>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DRAW / DIAGRAM — sketch the idea, a timeline, or how the pieces connect</w:t>
            </w:r>
          </w:p>
        </w:tc>
        <w:tc>
          <w:tcPr>
            <w:tcW w:type="dxa" w:w="48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20"/>
            </w:pPr>
            <w:r>
              <w:rPr>
                <w:b/>
                <w:bCs/>
                <w:i w:val="false"/>
                <w:iCs w:val="false"/>
                <w:color w:val="1B2A4A"/>
                <w:sz w:val="15"/>
                <w:szCs w:val="15"/>
                <w:caps w:val="false"/>
                <w:rFonts w:ascii="Calibri" w:cs="Calibri" w:eastAsia="Calibri" w:hAnsi="Calibri"/>
              </w:rPr>
              <w:t xml:space="preserve">WRITE — keep taking notes on the lines</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Key terms to list</w:t>
            </w:r>
          </w:p>
          <w:p>
            <w:pPr>
              <w:spacing w:after="40"/>
            </w:pPr>
            <w:r>
              <w:rPr>
                <w:b w:val="false"/>
                <w:bCs w:val="false"/>
                <w:i w:val="false"/>
                <w:iCs w:val="false"/>
                <w:color w:val="1A1A1A"/>
                <w:sz w:val="22"/>
                <w:szCs w:val="22"/>
                <w:caps w:val="false"/>
                <w:rFonts w:ascii="Calibri" w:cs="Calibri" w:eastAsia="Calibri" w:hAnsi="Calibri"/>
              </w:rPr>
              <w:t xml:space="preserve">Title IX · Americans with Disabilities Act (ADA) · Precedent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Summary — In your own words (2–3 sentences)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PROGRESS CHECK · one question</w:t>
            </w:r>
          </w:p>
          <w:p>
            <w:pPr>
              <w:spacing w:after="60"/>
            </w:pPr>
            <w:r>
              <w:rPr>
                <w:b/>
                <w:bCs/>
                <w:i w:val="false"/>
                <w:iCs w:val="false"/>
                <w:color w:val="1A1A1A"/>
                <w:sz w:val="22"/>
                <w:szCs w:val="22"/>
                <w:caps w:val="false"/>
                <w:rFonts w:ascii="Calibri" w:cs="Calibri" w:eastAsia="Calibri" w:hAnsi="Calibri"/>
              </w:rPr>
              <w:t xml:space="preserve">What does Title IX (1972) prohibit?</w:t>
            </w:r>
          </w:p>
          <w:p>
            <w:pPr>
              <w:spacing w:after="30"/>
              <w:ind w:left="360"/>
            </w:pPr>
            <w:r>
              <w:rPr>
                <w:b w:val="false"/>
                <w:bCs w:val="false"/>
                <w:i w:val="false"/>
                <w:iCs w:val="false"/>
                <w:color w:val="1A1A1A"/>
                <w:sz w:val="21"/>
                <w:szCs w:val="21"/>
                <w:caps w:val="false"/>
                <w:rFonts w:ascii="Calibri" w:cs="Calibri" w:eastAsia="Calibri" w:hAnsi="Calibri"/>
              </w:rPr>
              <w:t xml:space="preserve">A.   Discrimination based on sex in federally funded education programs</w:t>
            </w:r>
          </w:p>
          <w:p>
            <w:pPr>
              <w:spacing w:after="30"/>
              <w:ind w:left="360"/>
            </w:pPr>
            <w:r>
              <w:rPr>
                <w:b w:val="false"/>
                <w:bCs w:val="false"/>
                <w:i w:val="false"/>
                <w:iCs w:val="false"/>
                <w:color w:val="1A1A1A"/>
                <w:sz w:val="21"/>
                <w:szCs w:val="21"/>
                <w:caps w:val="false"/>
                <w:rFonts w:ascii="Calibri" w:cs="Calibri" w:eastAsia="Calibri" w:hAnsi="Calibri"/>
              </w:rPr>
              <w:t xml:space="preserve">B.   All private-school tuition</w:t>
            </w:r>
          </w:p>
          <w:p>
            <w:pPr>
              <w:spacing w:after="30"/>
              <w:ind w:left="360"/>
            </w:pPr>
            <w:r>
              <w:rPr>
                <w:b w:val="false"/>
                <w:bCs w:val="false"/>
                <w:i w:val="false"/>
                <w:iCs w:val="false"/>
                <w:color w:val="1A1A1A"/>
                <w:sz w:val="21"/>
                <w:szCs w:val="21"/>
                <w:caps w:val="false"/>
                <w:rFonts w:ascii="Calibri" w:cs="Calibri" w:eastAsia="Calibri" w:hAnsi="Calibri"/>
              </w:rPr>
              <w:t xml:space="preserve">C.   The teaching of history</w:t>
            </w:r>
          </w:p>
          <w:p>
            <w:pPr>
              <w:spacing w:after="30"/>
              <w:ind w:left="360"/>
            </w:pPr>
            <w:r>
              <w:rPr>
                <w:b w:val="false"/>
                <w:bCs w:val="false"/>
                <w:i w:val="false"/>
                <w:iCs w:val="false"/>
                <w:color w:val="1A1A1A"/>
                <w:sz w:val="21"/>
                <w:szCs w:val="21"/>
                <w:caps w:val="false"/>
                <w:rFonts w:ascii="Calibri" w:cs="Calibri" w:eastAsia="Calibri" w:hAnsi="Calibri"/>
              </w:rPr>
              <w:t xml:space="preserve">D.   Voting by people under 21</w:t>
            </w:r>
          </w:p>
          <w:p>
            <w:pPr>
              <w:spacing w:after="0"/>
            </w:pPr>
            <w:r>
              <w:rPr>
                <w:b w:val="false"/>
                <w:bCs w:val="false"/>
                <w:i/>
                <w:iCs/>
                <w:color w:val="6B7280"/>
                <w:sz w:val="19"/>
                <w:szCs w:val="19"/>
                <w:caps w:val="false"/>
                <w:rFonts w:ascii="Calibri" w:cs="Calibri" w:eastAsia="Calibri" w:hAnsi="Calibri"/>
              </w:rPr>
              <w:t xml:space="preserve">Commit before you move on — mark it, say it, or explain it aloud.</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how am I doing?</w:t>
            </w:r>
          </w:p>
          <w:p>
            <w:pPr>
              <w:spacing w:after="40"/>
            </w:pPr>
            <w:r>
              <w:rPr>
                <w:b w:val="false"/>
                <w:bCs w:val="false"/>
                <w:i/>
                <w:iCs/>
                <w:color w:val="6B7280"/>
                <w:sz w:val="20"/>
                <w:szCs w:val="20"/>
                <w:caps w:val="false"/>
                <w:rFonts w:ascii="Calibri" w:cs="Calibri" w:eastAsia="Calibri" w:hAnsi="Calibri"/>
              </w:rPr>
              <w:t xml:space="preserve">Which learning targets (on this standard’s opening page) can you now meet? Tick the number; circle any you still need help with.</w:t>
            </w:r>
          </w:p>
          <w:p>
            <w:pPr>
              <w:spacing w:after="40"/>
            </w:pPr>
            <w:r>
              <w:rPr>
                <w:b/>
                <w:bCs/>
                <w:i w:val="false"/>
                <w:iCs w:val="false"/>
                <w:color w:val="1A1A1A"/>
                <w:sz w:val="24"/>
                <w:szCs w:val="24"/>
                <w:caps w:val="false"/>
                <w:rFonts w:ascii="Calibri" w:cs="Calibri" w:eastAsia="Calibri" w:hAnsi="Calibri"/>
              </w:rPr>
              <w:t xml:space="preserve">☐ 1</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My 12–15 word headline for this standard</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Guided Support for the Cornell Notes — GC.27</w:t>
      </w:r>
    </w:p>
    <w:p>
      <w:pPr>
        <w:spacing w:after="100"/>
      </w:pPr>
      <w:r>
        <w:rPr>
          <w:b w:val="false"/>
          <w:bCs w:val="false"/>
          <w:i/>
          <w:iCs/>
          <w:color w:val="1A1A1A"/>
          <w:sz w:val="20"/>
          <w:szCs w:val="20"/>
          <w:caps w:val="false"/>
          <w:rFonts w:ascii="Calibri" w:cs="Calibri" w:eastAsia="Calibri" w:hAnsi="Calibri"/>
        </w:rPr>
        <w:t xml:space="preserve">These scaffolds support ONLY the Cornell notes — use them to take and process those notes. Optional and easy to set aside; not a separate assignment or a label.</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What it means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1972 federal law barring sex discrimination in any education program that receives federal funds — landmark for equal opportunity, including in school athletics.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 1990 federal law prohibiting discrimination against people with disabilities and requiring reasonable accommodations in employment, public services, and public places.</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color w:val="1A1A1A"/>
                <w:sz w:val="20"/>
                <w:szCs w:val="20"/>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An earlier law or court decision that guides later ones; civil-rights precedents built on one another to widen who is protected.</w:t>
            </w:r>
          </w:p>
        </w:tc>
      </w:tr>
    </w:tbl>
    <w:p>
      <w:pPr>
        <w:spacing w:after="100"/>
      </w:pPr>
      <w:r>
        <w:rPr>
          <w:b/>
          <w:bCs/>
          <w:i w:val="false"/>
          <w:iCs w:val="false"/>
          <w:color w:val="1A1A1A"/>
          <w:sz w:val="21"/>
          <w:szCs w:val="21"/>
          <w:caps w:val="false"/>
          <w:rFonts w:ascii="Calibri" w:cs="Calibri" w:eastAsia="Calibri" w:hAnsi="Calibri"/>
        </w:rPr>
        <w:t xml:space="preserve">Break it into steps:</w:t>
      </w:r>
    </w:p>
    <w:p>
      <w:pPr>
        <w:spacing w:after="100"/>
      </w:pPr>
      <w:r>
        <w:rPr>
          <w:b w:val="false"/>
          <w:bCs w:val="false"/>
          <w:i w:val="false"/>
          <w:iCs w:val="false"/>
          <w:color w:val="1A1A1A"/>
          <w:sz w:val="20"/>
          <w:szCs w:val="20"/>
          <w:caps w:val="false"/>
          <w:rFonts w:ascii="Calibri" w:cs="Calibri" w:eastAsia="Calibri" w:hAnsi="Calibri"/>
        </w:rPr>
        <w:t xml:space="preserve">1) Name one cause or effect.    2) Give one piece of evidence.    3) Write one sentence explaining the link.</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Sentence frame</w:t>
            </w:r>
          </w:p>
          <w:p>
            <w:pPr>
              <w:spacing w:after="40"/>
            </w:pPr>
            <w:r>
              <w:rPr>
                <w:b w:val="false"/>
                <w:bCs w:val="false"/>
                <w:i w:val="false"/>
                <w:iCs w:val="false"/>
                <w:color w:val="1A1A1A"/>
                <w:sz w:val="22"/>
                <w:szCs w:val="22"/>
                <w:caps w:val="false"/>
                <w:rFonts w:ascii="Calibri" w:cs="Calibri" w:eastAsia="Calibri" w:hAnsi="Calibri"/>
              </w:rPr>
              <w:t xml:space="preserve">One key cause/effect of rights for the underserved was ______, shown by ______, which mattered because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Modeled example (one worked note — yours will differ)</w:t>
            </w:r>
          </w:p>
          <w:p>
            <w:pPr>
              <w:spacing w:after="40"/>
            </w:pPr>
            <w:r>
              <w:rPr>
                <w:b w:val="false"/>
                <w:bCs w:val="false"/>
                <w:i w:val="false"/>
                <w:iCs w:val="false"/>
                <w:color w:val="1A1A1A"/>
                <w:sz w:val="22"/>
                <w:szCs w:val="22"/>
                <w:caps w:val="false"/>
                <w:rFonts w:ascii="Calibri" w:cs="Calibri" w:eastAsia="Calibri" w:hAnsi="Calibri"/>
              </w:rPr>
              <w:t xml:space="preserve">A key idea of rights for the underserved was Title IX: A 1972 federal law barring sex discrimination in any education program that receives federal funds — landmark for equal opportunity, including in school athletics.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GUIDED NOTE REHEARSAL LAB — practice ONE note, step by step</w:t>
            </w:r>
          </w:p>
          <w:p>
            <w:pPr>
              <w:spacing w:after="40"/>
            </w:pPr>
            <w:r>
              <w:rPr>
                <w:b w:val="false"/>
                <w:bCs w:val="false"/>
                <w:i w:val="false"/>
                <w:iCs w:val="false"/>
                <w:color w:val="1A1A1A"/>
                <w:sz w:val="22"/>
                <w:szCs w:val="22"/>
                <w:caps w:val="false"/>
                <w:rFonts w:ascii="Calibri" w:cs="Calibri" w:eastAsia="Calibri" w:hAnsi="Calibri"/>
              </w:rPr>
              <w:t xml:space="preserve">Build one good note here first, then copy it onto your Cornell page. Name the idea → give one piece of evidence → explain the link → write a short headline.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Step</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Rehearse it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Name it</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Explain</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Headline</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TRANSFER CHECK — move one rehearsed idea onto the front notes</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3"/>
        <w:keepNext/>
        <w:pageBreakBefore/>
        <w:spacing w:before="150" w:after="90"/>
      </w:pPr>
      <w:r>
        <w:rPr>
          <w:b/>
          <w:bCs/>
          <w:i w:val="false"/>
          <w:iCs w:val="false"/>
          <w:color w:val="B22234"/>
          <w:sz w:val="24"/>
          <w:szCs w:val="24"/>
          <w:caps w:val="false"/>
          <w:rFonts w:ascii="Calibri" w:cs="Calibri" w:eastAsia="Calibri" w:hAnsi="Calibri"/>
        </w:rPr>
        <w:t xml:space="preserve">Light Support for the Cornell Notes — GC.27</w:t>
      </w:r>
    </w:p>
    <w:p>
      <w:pPr>
        <w:spacing w:after="100"/>
      </w:pPr>
      <w:r>
        <w:rPr>
          <w:b w:val="false"/>
          <w:bCs w:val="false"/>
          <w:i/>
          <w:iCs/>
          <w:color w:val="1A1A1A"/>
          <w:sz w:val="20"/>
          <w:szCs w:val="20"/>
          <w:caps w:val="false"/>
          <w:rFonts w:ascii="Calibri" w:cs="Calibri" w:eastAsia="Calibri" w:hAnsi="Calibri"/>
        </w:rPr>
        <w:t xml:space="preserve">A lighter scaffold for the SAME Cornell notes. Try the notes first; reach for this only if you need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48"/>
        <w:gridCol w:w="6544"/>
      </w:tblGrid>
      <w:tr>
        <w:trPr>
          <w:tblHeader/>
        </w:trPr>
        <w:tc>
          <w:tcPr>
            <w:tcW w:type="dxa" w:w="3248"/>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Key vocabulary</w:t>
            </w:r>
          </w:p>
        </w:tc>
        <w:tc>
          <w:tcPr>
            <w:tcW w:type="dxa" w:w="654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Finish the idea — “This term means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Title IX</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Americans with Disabilities Act (ADA)</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48"/>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Precedent</w:t>
            </w:r>
          </w:p>
        </w:tc>
        <w:tc>
          <w:tcPr>
            <w:tcW w:type="dxa" w:w="654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spacing w:after="100"/>
      </w:pPr>
      <w:r>
        <w:rPr>
          <w:b/>
          <w:bCs/>
          <w:i w:val="false"/>
          <w:iCs w:val="false"/>
          <w:color w:val="1A1A1A"/>
          <w:sz w:val="21"/>
          <w:szCs w:val="21"/>
          <w:caps w:val="false"/>
          <w:rFonts w:ascii="Calibri" w:cs="Calibri" w:eastAsia="Calibri" w:hAnsi="Calibri"/>
        </w:rPr>
        <w:t xml:space="preserve">Guiding questions — answer on the lines below (or in your front notes):</w:t>
      </w:r>
    </w:p>
    <w:p>
      <w:pPr>
        <w:spacing w:after="100"/>
      </w:pPr>
      <w:r>
        <w:rPr>
          <w:b w:val="false"/>
          <w:bCs w:val="false"/>
          <w:i w:val="false"/>
          <w:iCs w:val="false"/>
          <w:color w:val="1A1A1A"/>
          <w:sz w:val="20"/>
          <w:szCs w:val="20"/>
          <w:caps w:val="false"/>
          <w:rFonts w:ascii="Calibri" w:cs="Calibri" w:eastAsia="Calibri" w:hAnsi="Calibri"/>
        </w:rPr>
        <w:t xml:space="preserve">•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 Why is Korematsu v. United States remembered as a warning, not a model?</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after="8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WHICH CUE STILL NEEDS WORK?</w:t>
            </w:r>
          </w:p>
          <w:p>
            <w:pPr>
              <w:spacing w:after="40"/>
            </w:pPr>
            <w:r>
              <w:rPr>
                <w:b w:val="false"/>
                <w:bCs w:val="false"/>
                <w:i w:val="false"/>
                <w:iCs w:val="false"/>
                <w:color w:val="1A1A1A"/>
                <w:sz w:val="22"/>
                <w:szCs w:val="22"/>
                <w:caps w:val="false"/>
                <w:rFonts w:ascii="Calibri" w:cs="Calibri" w:eastAsia="Calibri" w:hAnsi="Calibri"/>
              </w:rPr>
              <w:t xml:space="preserve">Circle the Cornell cue from the front page you still need help with, and tell your teacher so we can go over 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LIGHT PROCESSING LAB</w:t>
            </w:r>
          </w:p>
          <w:p>
            <w:pPr>
              <w:spacing w:after="40"/>
            </w:pPr>
            <w:r>
              <w:rPr>
                <w:b w:val="false"/>
                <w:bCs w:val="false"/>
                <w:i w:val="false"/>
                <w:iCs w:val="false"/>
                <w:color w:val="1A1A1A"/>
                <w:sz w:val="22"/>
                <w:szCs w:val="22"/>
                <w:caps w:val="false"/>
                <w:rFonts w:ascii="Calibri" w:cs="Calibri" w:eastAsia="Calibri" w:hAnsi="Calibri"/>
              </w:rPr>
              <w:t xml:space="preserve">Answer one guiding question from above in a full sentence, in your own words.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4 — Close Read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Reading type: Government Hack-authored instructional synthesis. This is not a primary source. Builds SSP.03 (synthesize) and SSP.05 (historical awareness).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CORE PATH</w:t>
            </w:r>
          </w:p>
          <w:p>
            <w:pPr>
              <w:spacing w:after="40"/>
            </w:pPr>
            <w:r>
              <w:rPr>
                <w:b w:val="false"/>
                <w:bCs w:val="false"/>
                <w:i w:val="false"/>
                <w:iCs w:val="false"/>
                <w:color w:val="1A1A1A"/>
                <w:sz w:val="22"/>
                <w:szCs w:val="22"/>
                <w:caps w:val="false"/>
                <w:rFonts w:ascii="Calibri" w:cs="Calibri" w:eastAsia="Calibri" w:hAnsi="Calibri"/>
              </w:rPr>
              <w:t xml:space="preserve">The Constitution's promise of equal protection has been extended over time by laws and court decisions that reached groups long left out. Title IX of the Education Amendments of 1972 declared that 'no person… shall, on the basis of sex, be excluded from participation in… any education program or activity receiving Federal financial assistance' — reshaping opportunity in schools, including athletics. The Americans with Disabilities Act (1990) barred discrimination against people with disabilities and required reasonable accommodations in jobs, public services, and public places. Court cases added both progress and cautionary lessons: Korematsu v. United States (1944) upheld the wartime incarceration of Japanese Americans — now widely condemned — while later rulings like Adarand Constructors v. Peña (1995) shaped how the government may address past discrimination. Together, these laws and cases show the 'expanding circle' of American rights — and how hard-won and contested each step has been.</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LANGUAGE SUPPORT</w:t>
            </w:r>
          </w:p>
          <w:p>
            <w:pPr>
              <w:spacing w:after="40"/>
            </w:pPr>
            <w:r>
              <w:rPr>
                <w:b w:val="false"/>
                <w:bCs w:val="false"/>
                <w:i w:val="false"/>
                <w:iCs w:val="false"/>
                <w:color w:val="1A1A1A"/>
                <w:sz w:val="22"/>
                <w:szCs w:val="22"/>
                <w:caps w:val="false"/>
                <w:rFonts w:ascii="Calibri" w:cs="Calibri" w:eastAsia="Calibri" w:hAnsi="Calibri"/>
              </w:rPr>
              <w:t xml:space="preserve">Key terms to know first: Title IX, Americans with Disabilities Act (ADA). Read once for the gist, then again for evidence.</w:t>
            </w:r>
          </w:p>
        </w:tc>
      </w:tr>
    </w:tbl>
    <w:p>
      <w:pPr>
        <w:spacing w:after="100"/>
      </w:pPr>
      <w:r>
        <w:rPr>
          <w:b/>
          <w:bCs/>
          <w:i w:val="false"/>
          <w:iCs w:val="false"/>
          <w:color w:val="1A1A1A"/>
          <w:sz w:val="21"/>
          <w:szCs w:val="21"/>
          <w:caps w:val="false"/>
          <w:rFonts w:ascii="Calibri" w:cs="Calibri" w:eastAsia="Calibri" w:hAnsi="Calibri"/>
        </w:rPr>
        <w:t xml:space="preserve">Text-dependent questions (answer in the Evidence Lab below or aloud):</w:t>
      </w:r>
    </w:p>
    <w:p>
      <w:pPr>
        <w:spacing w:after="100"/>
      </w:pPr>
      <w:r>
        <w:rPr>
          <w:b w:val="false"/>
          <w:bCs w:val="false"/>
          <w:i w:val="false"/>
          <w:iCs w:val="false"/>
          <w:color w:val="1A1A1A"/>
          <w:sz w:val="20"/>
          <w:szCs w:val="20"/>
          <w:caps w:val="false"/>
          <w:rFonts w:ascii="Calibri" w:cs="Calibri" w:eastAsia="Calibri" w:hAnsi="Calibri"/>
        </w:rPr>
        <w:t xml:space="preserve">1. What does Title IX guarantee, and where does it apply?</w:t>
      </w:r>
    </w:p>
    <w:p>
      <w:pPr>
        <w:spacing w:after="100"/>
      </w:pPr>
      <w:r>
        <w:rPr>
          <w:b w:val="false"/>
          <w:bCs w:val="false"/>
          <w:i w:val="false"/>
          <w:iCs w:val="false"/>
          <w:color w:val="1A1A1A"/>
          <w:sz w:val="20"/>
          <w:szCs w:val="20"/>
          <w:caps w:val="false"/>
          <w:rFonts w:ascii="Calibri" w:cs="Calibri" w:eastAsia="Calibri" w:hAnsi="Calibri"/>
        </w:rPr>
        <w:t xml:space="preserve">2. What protections does the Americans with Disabilities Act provide?</w:t>
      </w:r>
    </w:p>
    <w:p>
      <w:pPr>
        <w:spacing w:after="100"/>
      </w:pPr>
      <w:r>
        <w:rPr>
          <w:b w:val="false"/>
          <w:bCs w:val="false"/>
          <w:i w:val="false"/>
          <w:iCs w:val="false"/>
          <w:color w:val="1A1A1A"/>
          <w:sz w:val="20"/>
          <w:szCs w:val="20"/>
          <w:caps w:val="false"/>
          <w:rFonts w:ascii="Calibri" w:cs="Calibri" w:eastAsia="Calibri" w:hAnsi="Calibri"/>
        </w:rPr>
        <w:t xml:space="preserve">3. Why is Korematsu v. United States remembered as a warning, not a model?</w:t>
      </w:r>
    </w:p>
    <w:p>
      <w:pPr>
        <w:spacing w:after="100"/>
      </w:pPr>
      <w:r>
        <w:rPr>
          <w:b w:val="false"/>
          <w:bCs w:val="false"/>
          <w:i/>
          <w:iCs/>
          <w:color w:val="1A1A1A"/>
          <w:sz w:val="20"/>
          <w:szCs w:val="20"/>
          <w:caps w:val="false"/>
          <w:rFonts w:ascii="Calibri" w:cs="Calibri" w:eastAsia="Calibri" w:hAnsi="Calibri"/>
        </w:rPr>
        <w:t xml:space="preserve">RESPONSE CHOICE: answer any question by writing in the Evidence Lab, saying/recording it, or diagramming 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CLOSE-READ EVIDENCE LAB</w:t>
            </w:r>
          </w:p>
          <w:p>
            <w:pPr>
              <w:spacing w:after="40"/>
            </w:pPr>
            <w:r>
              <w:rPr>
                <w:b w:val="false"/>
                <w:bCs w:val="false"/>
                <w:i w:val="false"/>
                <w:iCs w:val="false"/>
                <w:color w:val="1A1A1A"/>
                <w:sz w:val="22"/>
                <w:szCs w:val="22"/>
                <w:caps w:val="false"/>
                <w:rFonts w:ascii="Calibri" w:cs="Calibri" w:eastAsia="Calibri" w:hAnsi="Calibri"/>
              </w:rPr>
              <w:t xml:space="preserve">Log evidence from the passage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264"/>
        <w:gridCol w:w="3264"/>
        <w:gridCol w:w="3264"/>
      </w:tblGrid>
      <w:tr>
        <w:trPr>
          <w:tblHeader/>
        </w:trPr>
        <w:tc>
          <w:tcPr>
            <w:tcW w:type="dxa" w:w="326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Question / claim</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Exact passage evidence</w:t>
            </w:r>
          </w:p>
        </w:tc>
        <w:tc>
          <w:tcPr>
            <w:tcW w:type="dxa" w:w="32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What the evidence shows</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32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In one sentence — the main idea of this reading:</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Spaced Retrieval &amp; Reflection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SPACED RETRIEVAL — quick recall (no notes)</w:t>
            </w:r>
          </w:p>
          <w:p>
            <w:pPr>
              <w:spacing w:after="40"/>
            </w:pPr>
            <w:r>
              <w:rPr>
                <w:b w:val="false"/>
                <w:bCs w:val="false"/>
                <w:i w:val="false"/>
                <w:iCs w:val="false"/>
                <w:color w:val="1A1A1A"/>
                <w:sz w:val="22"/>
                <w:szCs w:val="22"/>
                <w:caps w:val="false"/>
                <w:rFonts w:ascii="Calibri" w:cs="Calibri" w:eastAsia="Calibri" w:hAnsi="Calibri"/>
              </w:rPr>
              <w:t xml:space="preserve">Pull it up cold to strengthen memory, then check your notes — retrieval is what makes learning stick.</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857"/>
        <w:gridCol w:w="5935"/>
      </w:tblGrid>
      <w:tr>
        <w:trPr>
          <w:tblHeader/>
        </w:trPr>
        <w:tc>
          <w:tcPr>
            <w:tcW w:type="dxa" w:w="3857"/>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Recall prompt</w:t>
            </w:r>
          </w:p>
        </w:tc>
        <w:tc>
          <w:tcPr>
            <w:tcW w:type="dxa" w:w="593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answer (from memory)</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key term or fact from THIS standard</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thing you learned in an EARLIER standard — how does it connect?</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85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you can answer now that you could not before</w:t>
            </w:r>
          </w:p>
        </w:tc>
        <w:tc>
          <w:tcPr>
            <w:tcW w:type="dxa" w:w="5935"/>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CHECK YOURSELF — look back and score how it went</w:t>
            </w:r>
          </w:p>
          <w:p>
            <w:pPr>
              <w:spacing w:after="40"/>
            </w:pPr>
            <w:r>
              <w:rPr>
                <w:b/>
                <w:bCs/>
                <w:i w:val="false"/>
                <w:iCs w:val="false"/>
                <w:color w:val="1A1A1A"/>
                <w:sz w:val="20"/>
                <w:szCs w:val="20"/>
                <w:caps w:val="false"/>
                <w:rFonts w:ascii="Calibri" w:cs="Calibri" w:eastAsia="Calibri" w:hAnsi="Calibri"/>
              </w:rPr>
              <w:t xml:space="preserve">Got it right?  </w:t>
            </w:r>
            <w:r>
              <w:rPr>
                <w:b w:val="false"/>
                <w:bCs w:val="false"/>
                <w:i w:val="false"/>
                <w:iCs w:val="false"/>
                <w:color w:val="1A1A1A"/>
                <w:sz w:val="20"/>
                <w:szCs w:val="20"/>
                <w:caps w:val="false"/>
                <w:rFonts w:ascii="Calibri" w:cs="Calibri" w:eastAsia="Calibri" w:hAnsi="Calibri"/>
              </w:rPr>
              <w:t xml:space="preserve">☐ Yes  ☐ Partly  ☐ Not yet</w:t>
            </w:r>
            <w:r>
              <w:rPr>
                <w:b/>
                <w:bCs/>
                <w:i w:val="false"/>
                <w:iCs w:val="false"/>
                <w:color w:val="1A1A1A"/>
                <w:sz w:val="20"/>
                <w:szCs w:val="20"/>
                <w:caps w:val="false"/>
                <w:rFonts w:ascii="Calibri" w:cs="Calibri" w:eastAsia="Calibri" w:hAnsi="Calibri"/>
              </w:rPr>
              <w:t xml:space="preserve">     Answer it from memory?  </w:t>
            </w:r>
            <w:r>
              <w:rPr>
                <w:b w:val="false"/>
                <w:bCs w:val="false"/>
                <w:i w:val="false"/>
                <w:iCs w:val="false"/>
                <w:color w:val="1A1A1A"/>
                <w:sz w:val="20"/>
                <w:szCs w:val="20"/>
                <w:caps w:val="false"/>
                <w:rFonts w:ascii="Calibri" w:cs="Calibri" w:eastAsia="Calibri" w:hAnsi="Calibri"/>
              </w:rPr>
              <w:t xml:space="preserve">☐ Yes  ☐ With a hint  ☐ No</w:t>
            </w:r>
          </w:p>
          <w:p>
            <w:pPr>
              <w:spacing w:after="40"/>
            </w:pPr>
            <w:r>
              <w:rPr>
                <w:b/>
                <w:bCs/>
                <w:i w:val="false"/>
                <w:iCs w:val="false"/>
                <w:color w:val="1A1A1A"/>
                <w:sz w:val="20"/>
                <w:szCs w:val="20"/>
                <w:caps w:val="false"/>
                <w:rFonts w:ascii="Calibri" w:cs="Calibri" w:eastAsia="Calibri" w:hAnsi="Calibri"/>
              </w:rPr>
              <w:t xml:space="preserve">How did it feel?  </w:t>
            </w:r>
            <w:r>
              <w:rPr>
                <w:b w:val="false"/>
                <w:bCs w:val="false"/>
                <w:i w:val="false"/>
                <w:iCs w:val="false"/>
                <w:color w:val="1A1A1A"/>
                <w:sz w:val="20"/>
                <w:szCs w:val="20"/>
                <w:caps w:val="false"/>
                <w:rFonts w:ascii="Calibri" w:cs="Calibri" w:eastAsia="Calibri" w:hAnsi="Calibri"/>
              </w:rPr>
              <w:t xml:space="preserve">☐ Confident  ☐ Getting there  ☐ Shaky — I’ll revisit</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CONNECT IT — spiral back</w:t>
            </w:r>
          </w:p>
          <w:p>
            <w:pPr>
              <w:spacing w:after="40"/>
            </w:pPr>
            <w:r>
              <w:rPr>
                <w:b w:val="false"/>
                <w:bCs w:val="false"/>
                <w:i w:val="false"/>
                <w:iCs w:val="false"/>
                <w:color w:val="1A1A1A"/>
                <w:sz w:val="22"/>
                <w:szCs w:val="22"/>
                <w:caps w:val="false"/>
                <w:rFonts w:ascii="Calibri" w:cs="Calibri" w:eastAsia="Calibri" w:hAnsi="Calibri"/>
              </w:rPr>
              <w:t xml:space="preserve">How does this standard connect to one you studied earlier, or to something in the world today? Write 2–3 sentences.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WHERE AM I? — plan your next step</w:t>
            </w:r>
          </w:p>
          <w:p>
            <w:pPr>
              <w:spacing w:after="40"/>
            </w:pPr>
            <w:r>
              <w:rPr>
                <w:b/>
                <w:bCs/>
                <w:i w:val="false"/>
                <w:iCs w:val="false"/>
                <w:color w:val="1A1A1A"/>
                <w:sz w:val="20"/>
                <w:szCs w:val="20"/>
                <w:caps w:val="false"/>
                <w:rFonts w:ascii="Calibri" w:cs="Calibri" w:eastAsia="Calibri" w:hAnsi="Calibri"/>
              </w:rPr>
              <w:t xml:space="preserve">Rate your understanding of this standard (1–4):   </w:t>
            </w:r>
            <w:r>
              <w:rPr>
                <w:b w:val="false"/>
                <w:bCs w:val="false"/>
                <w:i w:val="false"/>
                <w:iCs w:val="false"/>
                <w:color w:val="1A1A1A"/>
                <w:sz w:val="20"/>
                <w:szCs w:val="20"/>
                <w:caps w:val="false"/>
                <w:rFonts w:ascii="Calibri" w:cs="Calibri" w:eastAsia="Calibri" w:hAnsi="Calibri"/>
              </w:rPr>
              <w:t xml:space="preserve">☐ 1    ☐ 2    ☐ 3    ☐ 4</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One thing I will review or ask about before the quiz:</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5 — Primary Source / Data Analysis — GC.27</w:t>
      </w:r>
      <w:r>
        <w:rPr>
          <w:b/>
          <w:bCs/>
          <w:i w:val="false"/>
          <w:iCs w:val="false"/>
          <w:color w:val="C89B3C"/>
          <w:sz w:val="18"/>
          <w:szCs w:val="18"/>
          <w:caps w:val="false"/>
          <w:rFonts w:ascii="Calibri" w:cs="Calibri" w:eastAsia="Calibri" w:hAnsi="Calibri"/>
        </w:rPr>
        <w:t xml:space="preserve">    ⏱ ~15 min</w:t>
      </w:r>
    </w:p>
    <w:p>
      <w:pPr>
        <w:spacing w:after="100"/>
      </w:pPr>
      <w:r>
        <w:rPr>
          <w:b w:val="false"/>
          <w:bCs w:val="false"/>
          <w:i/>
          <w:iCs/>
          <w:color w:val="6B7280"/>
          <w:sz w:val="20"/>
          <w:szCs w:val="20"/>
          <w:caps w:val="false"/>
          <w:rFonts w:ascii="Calibri" w:cs="Calibri" w:eastAsia="Calibri" w:hAnsi="Calibri"/>
        </w:rPr>
        <w:t xml:space="preserve">Primary source (photo) — analyze it with HIPPO. Builds SSP.01–SSP.02.</w:t>
      </w:r>
    </w:p>
    <w:p>
      <w:pPr>
        <w:spacing w:after="60"/>
        <w:jc w:val="center"/>
      </w:pPr>
      <w:r>
        <w:drawing>
          <wp:inline distT="0" distB="0" distL="0" distR="0">
            <wp:extent cx="3238500" cy="2476500"/>
            <wp:effectExtent t="0" r="0" b="0" l="0"/>
            <wp:docPr id="1" name="Japanese-American incarceration, Lodi CA (WRA)" descr="Photo: Japanese-American incarceration, Lodi CA (WRA) (Dorothea Lange (WRA), 1942)." title="Japanese-American incarceration, Lodi CA (W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238500" cy="2476500"/>
                    </a:xfrm>
                    <a:prstGeom prst="rect">
                      <a:avLst/>
                    </a:prstGeom>
                  </pic:spPr>
                </pic:pic>
              </a:graphicData>
            </a:graphic>
          </wp:inline>
        </w:drawing>
      </w:r>
    </w:p>
    <w:p>
      <w:pPr>
        <w:spacing w:after="20"/>
      </w:pPr>
      <w:r>
        <w:rPr>
          <w:b/>
          <w:bCs/>
          <w:i w:val="false"/>
          <w:iCs w:val="false"/>
          <w:color w:val="1A1A1A"/>
          <w:sz w:val="19"/>
          <w:szCs w:val="19"/>
          <w:caps w:val="false"/>
          <w:rFonts w:ascii="Calibri" w:cs="Calibri" w:eastAsia="Calibri" w:hAnsi="Calibri"/>
        </w:rPr>
        <w:t xml:space="preserve">Japanese-American incarceration, Lodi CA (WRA) · Dorothea Lange (WRA) · 1942</w:t>
      </w:r>
    </w:p>
    <w:p>
      <w:pPr>
        <w:spacing w:after="40"/>
      </w:pPr>
      <w:r>
        <w:rPr>
          <w:b w:val="false"/>
          <w:bCs w:val="false"/>
          <w:i w:val="false"/>
          <w:iCs w:val="false"/>
          <w:color w:val="6B7280"/>
          <w:sz w:val="16"/>
          <w:szCs w:val="16"/>
          <w:caps w:val="false"/>
          <w:rFonts w:ascii="Calibri" w:cs="Calibri" w:eastAsia="Calibri" w:hAnsi="Calibri"/>
        </w:rPr>
        <w:t xml:space="preserve">Source: Wikimedia Commons · https://commons.wikimedia.org/wiki/File:Lodi,_California._A_family_of_Japanese_ancestry_lived_in_this_house_and_operated_the_surrounding_vi_._._._-_NARA_-_537623.jpg Public domain — U.S. federal (WRA) photograph https://commons.wikimedia.org/wiki/File:Lodi,_California._A_family_of_Japanese_ancestry_lived_in_this_house_and_operated_the_surrounding_vi_._._._-_NARA_-_537623.jpg</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FIRST LOOK — before you analyze</w:t>
            </w:r>
          </w:p>
          <w:p>
            <w:pPr>
              <w:spacing w:after="40"/>
            </w:pPr>
            <w:r>
              <w:rPr>
                <w:b w:val="false"/>
                <w:bCs w:val="false"/>
                <w:i w:val="false"/>
                <w:iCs w:val="false"/>
                <w:color w:val="1A1A1A"/>
                <w:sz w:val="22"/>
                <w:szCs w:val="22"/>
                <w:caps w:val="false"/>
                <w:rFonts w:ascii="Calibri" w:cs="Calibri" w:eastAsia="Calibri" w:hAnsi="Calibri"/>
              </w:rPr>
              <w:t xml:space="preserve">Jot 3–4 things you notice in the source (details, words, people, dates). No wrong answers.</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4263"/>
        <w:gridCol w:w="5529"/>
      </w:tblGrid>
      <w:tr>
        <w:trPr>
          <w:tblHeader/>
        </w:trPr>
        <w:tc>
          <w:tcPr>
            <w:tcW w:type="dxa" w:w="4263"/>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HIPPO — analyze the source (prompt)</w:t>
            </w:r>
          </w:p>
        </w:tc>
        <w:tc>
          <w:tcPr>
            <w:tcW w:type="dxa" w:w="552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analysis</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 — Historical context: what was happening when this was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I — Intended audience: who was meant to see or obey it?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Purpose: why was it created?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P — Point of view: whose perspective does it reflect?</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426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 — Outside connection: how does it connect to this standard?</w:t>
            </w:r>
          </w:p>
        </w:tc>
        <w:tc>
          <w:tcPr>
            <w:tcW w:type="dxa" w:w="552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Primary Source Analysis — go deeper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 OPTION (use if you need it)</w:t>
            </w:r>
          </w:p>
          <w:p>
            <w:pPr>
              <w:spacing w:after="40"/>
            </w:pPr>
            <w:r>
              <w:rPr>
                <w:b w:val="false"/>
                <w:bCs w:val="false"/>
                <w:i w:val="false"/>
                <w:iCs w:val="false"/>
                <w:color w:val="1A1A1A"/>
                <w:sz w:val="22"/>
                <w:szCs w:val="22"/>
                <w:caps w:val="false"/>
                <w:rFonts w:ascii="Calibri" w:cs="Calibri" w:eastAsia="Calibri" w:hAnsi="Calibri"/>
              </w:rPr>
              <w:t xml:space="preserve">Sentence frame: This source shows ______ because it ______, which reveals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SOURCE SYNTHESIS — put it together (SSP.03)</w:t>
            </w:r>
          </w:p>
          <w:p>
            <w:pPr>
              <w:spacing w:after="40"/>
            </w:pPr>
            <w:r>
              <w:rPr>
                <w:b w:val="false"/>
                <w:bCs w:val="false"/>
                <w:i w:val="false"/>
                <w:iCs w:val="false"/>
                <w:color w:val="1A1A1A"/>
                <w:sz w:val="22"/>
                <w:szCs w:val="22"/>
                <w:caps w:val="false"/>
                <w:rFonts w:ascii="Calibri" w:cs="Calibri" w:eastAsia="Calibri" w:hAnsi="Calibri"/>
              </w:rPr>
              <w:t xml:space="preserve">In 2–3 sentences: what does this source reveal about this standard, and how do you know? Cite one specific detail from it.</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THINK LIKE A HISTORIAN — corroborate or challenge (SSP.03)</w:t>
            </w:r>
          </w:p>
          <w:p>
            <w:pPr>
              <w:spacing w:after="40"/>
            </w:pPr>
            <w:r>
              <w:rPr>
                <w:b w:val="false"/>
                <w:bCs w:val="false"/>
                <w:i w:val="false"/>
                <w:iCs w:val="false"/>
                <w:color w:val="1A1A1A"/>
                <w:sz w:val="22"/>
                <w:szCs w:val="22"/>
                <w:caps w:val="false"/>
                <w:rFonts w:ascii="Calibri" w:cs="Calibri" w:eastAsia="Calibri" w:hAnsi="Calibri"/>
              </w:rPr>
              <w:t xml:space="preserve">Name ONE other source that could CONFIRM this one, and ONE way it could COMPLICATE or CHALLENGE it — or, whose voice is missing here?</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SO WHAT? — why this source still matters today</w:t>
            </w:r>
          </w:p>
          <w:p>
            <w:pPr>
              <w:spacing w:after="40"/>
            </w:pPr>
            <w:r>
              <w:rPr>
                <w:b w:val="false"/>
                <w:bCs w:val="false"/>
                <w:i w:val="false"/>
                <w:iCs w:val="false"/>
                <w:color w:val="1A1A1A"/>
                <w:sz w:val="22"/>
                <w:szCs w:val="22"/>
                <w:caps w:val="false"/>
                <w:rFonts w:ascii="Calibri" w:cs="Calibri" w:eastAsia="Calibri" w:hAnsi="Calibri"/>
              </w:rPr>
              <w:t xml:space="preserve">In 1–2 sentences: why does this source still matter for understanding government today?</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CONFIDENCE CHECK-IN</w:t>
            </w:r>
          </w:p>
          <w:p>
            <w:pPr>
              <w:spacing w:after="40"/>
            </w:pPr>
            <w:r>
              <w:rPr>
                <w:b w:val="false"/>
                <w:bCs w:val="false"/>
                <w:i w:val="false"/>
                <w:iCs w:val="false"/>
                <w:color w:val="1A1A1A"/>
                <w:sz w:val="22"/>
                <w:szCs w:val="22"/>
                <w:caps w:val="false"/>
                <w:rFonts w:ascii="Calibri" w:cs="Calibri" w:eastAsia="Calibri" w:hAnsi="Calibri"/>
              </w:rPr>
              <w:t xml:space="preserve">Rate your understanding of this standard (1–4): ______    One thing to revisit: ____________________</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6 — Core Application: Practice Quiz — GC.27</w:t>
      </w:r>
      <w:r>
        <w:rPr>
          <w:b/>
          <w:bCs/>
          <w:i w:val="false"/>
          <w:iCs w:val="false"/>
          <w:color w:val="C89B3C"/>
          <w:sz w:val="18"/>
          <w:szCs w:val="18"/>
          <w:caps w:val="false"/>
          <w:rFonts w:ascii="Calibri" w:cs="Calibri" w:eastAsia="Calibri" w:hAnsi="Calibri"/>
        </w:rPr>
        <w:t xml:space="preserve">    ⏱ ~8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RESPONSE CHOICE</w:t>
            </w:r>
          </w:p>
          <w:p>
            <w:pPr>
              <w:spacing w:after="40"/>
            </w:pPr>
            <w:r>
              <w:rPr>
                <w:b w:val="false"/>
                <w:bCs w:val="false"/>
                <w:i w:val="false"/>
                <w:iCs w:val="false"/>
                <w:color w:val="1A1A1A"/>
                <w:sz w:val="22"/>
                <w:szCs w:val="22"/>
                <w:caps w:val="false"/>
                <w:rFonts w:ascii="Calibri" w:cs="Calibri" w:eastAsia="Calibri" w:hAnsi="Calibri"/>
              </w:rPr>
              <w:t xml:space="preserve">Commit to an answer by marking it, saying it, or explaining it aloud before checking. Answer key is in the Teacher Guide (kept separate).</w:t>
            </w:r>
          </w:p>
        </w:tc>
      </w:tr>
    </w:tbl>
    <w:p>
      <w:pPr>
        <w:spacing w:after="100"/>
      </w:pPr>
      <w:r>
        <w:rPr>
          <w:b/>
          <w:bCs/>
          <w:i w:val="false"/>
          <w:iCs w:val="false"/>
          <w:color w:val="6B7280"/>
          <w:sz w:val="18"/>
          <w:szCs w:val="18"/>
          <w:caps w:val="false"/>
          <w:rFonts w:ascii="Calibri" w:cs="Calibri" w:eastAsia="Calibri" w:hAnsi="Calibri"/>
        </w:rPr>
        <w:t xml:space="preserve">[DOK 1 · item u6-gc27-dok1-1 · pre-field-test]</w:t>
      </w:r>
    </w:p>
    <w:p>
      <w:pPr>
        <w:spacing w:after="100"/>
      </w:pPr>
      <w:r>
        <w:rPr>
          <w:b/>
          <w:bCs/>
          <w:i w:val="false"/>
          <w:iCs w:val="false"/>
          <w:color w:val="1A1A1A"/>
          <w:sz w:val="21"/>
          <w:szCs w:val="21"/>
          <w:caps w:val="false"/>
          <w:rFonts w:ascii="Calibri" w:cs="Calibri" w:eastAsia="Calibri" w:hAnsi="Calibri"/>
        </w:rPr>
        <w:t xml:space="preserve">The 1990 law protecting people with disabilities is the:</w:t>
      </w:r>
    </w:p>
    <w:p>
      <w:pPr>
        <w:spacing w:after="20"/>
        <w:ind w:left="260"/>
      </w:pPr>
      <w:r>
        <w:rPr>
          <w:b w:val="false"/>
          <w:bCs w:val="false"/>
          <w:i w:val="false"/>
          <w:iCs w:val="false"/>
          <w:color w:val="1A1A1A"/>
          <w:sz w:val="20"/>
          <w:szCs w:val="20"/>
          <w:caps w:val="false"/>
          <w:rFonts w:ascii="Calibri" w:cs="Calibri" w:eastAsia="Calibri" w:hAnsi="Calibri"/>
        </w:rPr>
        <w:t xml:space="preserve">A. Title IX</w:t>
      </w:r>
    </w:p>
    <w:p>
      <w:pPr>
        <w:spacing w:after="20"/>
        <w:ind w:left="260"/>
      </w:pPr>
      <w:r>
        <w:rPr>
          <w:b w:val="false"/>
          <w:bCs w:val="false"/>
          <w:i w:val="false"/>
          <w:iCs w:val="false"/>
          <w:color w:val="1A1A1A"/>
          <w:sz w:val="20"/>
          <w:szCs w:val="20"/>
          <w:caps w:val="false"/>
          <w:rFonts w:ascii="Calibri" w:cs="Calibri" w:eastAsia="Calibri" w:hAnsi="Calibri"/>
        </w:rPr>
        <w:t xml:space="preserve">B. Americans with Disabilities Act</w:t>
      </w:r>
    </w:p>
    <w:p>
      <w:pPr>
        <w:spacing w:after="20"/>
        <w:ind w:left="260"/>
      </w:pPr>
      <w:r>
        <w:rPr>
          <w:b w:val="false"/>
          <w:bCs w:val="false"/>
          <w:i w:val="false"/>
          <w:iCs w:val="false"/>
          <w:color w:val="1A1A1A"/>
          <w:sz w:val="20"/>
          <w:szCs w:val="20"/>
          <w:caps w:val="false"/>
          <w:rFonts w:ascii="Calibri" w:cs="Calibri" w:eastAsia="Calibri" w:hAnsi="Calibri"/>
        </w:rPr>
        <w:t xml:space="preserve">C. Voting Rights Act</w:t>
      </w:r>
    </w:p>
    <w:p>
      <w:pPr>
        <w:spacing w:after="20"/>
        <w:ind w:left="260"/>
      </w:pPr>
      <w:r>
        <w:rPr>
          <w:b w:val="false"/>
          <w:bCs w:val="false"/>
          <w:i w:val="false"/>
          <w:iCs w:val="false"/>
          <w:color w:val="1A1A1A"/>
          <w:sz w:val="20"/>
          <w:szCs w:val="20"/>
          <w:caps w:val="false"/>
          <w:rFonts w:ascii="Calibri" w:cs="Calibri" w:eastAsia="Calibri" w:hAnsi="Calibri"/>
        </w:rPr>
        <w:t xml:space="preserve">D. Butler Act</w:t>
      </w:r>
    </w:p>
    <w:p>
      <w:pPr>
        <w:spacing w:after="100"/>
      </w:pPr>
      <w:r>
        <w:rPr>
          <w:b/>
          <w:bCs/>
          <w:i w:val="false"/>
          <w:iCs w:val="false"/>
          <w:color w:val="6B7280"/>
          <w:sz w:val="18"/>
          <w:szCs w:val="18"/>
          <w:caps w:val="false"/>
          <w:rFonts w:ascii="Calibri" w:cs="Calibri" w:eastAsia="Calibri" w:hAnsi="Calibri"/>
        </w:rPr>
        <w:t xml:space="preserve">[DOK 2 · item u1-gc27-dok2-tc · pre-field-test]</w:t>
      </w:r>
    </w:p>
    <w:p>
      <w:pPr>
        <w:spacing w:after="100"/>
      </w:pPr>
      <w:r>
        <w:rPr>
          <w:b/>
          <w:bCs/>
          <w:i w:val="false"/>
          <w:iCs w:val="false"/>
          <w:color w:val="1A1A1A"/>
          <w:sz w:val="21"/>
          <w:szCs w:val="21"/>
          <w:caps w:val="false"/>
          <w:rFonts w:ascii="Calibri" w:cs="Calibri" w:eastAsia="Calibri" w:hAnsi="Calibri"/>
        </w:rPr>
        <w:t xml:space="preserve">What does Title IX (1972) prohibit?</w:t>
      </w:r>
    </w:p>
    <w:p>
      <w:pPr>
        <w:spacing w:after="20"/>
        <w:ind w:left="260"/>
      </w:pPr>
      <w:r>
        <w:rPr>
          <w:b w:val="false"/>
          <w:bCs w:val="false"/>
          <w:i w:val="false"/>
          <w:iCs w:val="false"/>
          <w:color w:val="1A1A1A"/>
          <w:sz w:val="20"/>
          <w:szCs w:val="20"/>
          <w:caps w:val="false"/>
          <w:rFonts w:ascii="Calibri" w:cs="Calibri" w:eastAsia="Calibri" w:hAnsi="Calibri"/>
        </w:rPr>
        <w:t xml:space="preserve">A. Discrimination based on sex in federally funded education programs</w:t>
      </w:r>
    </w:p>
    <w:p>
      <w:pPr>
        <w:spacing w:after="20"/>
        <w:ind w:left="260"/>
      </w:pPr>
      <w:r>
        <w:rPr>
          <w:b w:val="false"/>
          <w:bCs w:val="false"/>
          <w:i w:val="false"/>
          <w:iCs w:val="false"/>
          <w:color w:val="1A1A1A"/>
          <w:sz w:val="20"/>
          <w:szCs w:val="20"/>
          <w:caps w:val="false"/>
          <w:rFonts w:ascii="Calibri" w:cs="Calibri" w:eastAsia="Calibri" w:hAnsi="Calibri"/>
        </w:rPr>
        <w:t xml:space="preserve">B. All private-school tuition</w:t>
      </w:r>
    </w:p>
    <w:p>
      <w:pPr>
        <w:spacing w:after="20"/>
        <w:ind w:left="260"/>
      </w:pPr>
      <w:r>
        <w:rPr>
          <w:b w:val="false"/>
          <w:bCs w:val="false"/>
          <w:i w:val="false"/>
          <w:iCs w:val="false"/>
          <w:color w:val="1A1A1A"/>
          <w:sz w:val="20"/>
          <w:szCs w:val="20"/>
          <w:caps w:val="false"/>
          <w:rFonts w:ascii="Calibri" w:cs="Calibri" w:eastAsia="Calibri" w:hAnsi="Calibri"/>
        </w:rPr>
        <w:t xml:space="preserve">C. The teaching of history</w:t>
      </w:r>
    </w:p>
    <w:p>
      <w:pPr>
        <w:spacing w:after="20"/>
        <w:ind w:left="260"/>
      </w:pPr>
      <w:r>
        <w:rPr>
          <w:b w:val="false"/>
          <w:bCs w:val="false"/>
          <w:i w:val="false"/>
          <w:iCs w:val="false"/>
          <w:color w:val="1A1A1A"/>
          <w:sz w:val="20"/>
          <w:szCs w:val="20"/>
          <w:caps w:val="false"/>
          <w:rFonts w:ascii="Calibri" w:cs="Calibri" w:eastAsia="Calibri" w:hAnsi="Calibri"/>
        </w:rPr>
        <w:t xml:space="preserve">D. Voting by people under 21</w:t>
      </w:r>
    </w:p>
    <w:p>
      <w:pPr>
        <w:spacing w:after="10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STRETCH — think like a test-writer (open to all)</w:t>
            </w:r>
          </w:p>
          <w:p>
            <w:pPr>
              <w:spacing w:after="40"/>
            </w:pPr>
            <w:r>
              <w:rPr>
                <w:b w:val="false"/>
                <w:bCs w:val="false"/>
                <w:i w:val="false"/>
                <w:iCs w:val="false"/>
                <w:color w:val="1A1A1A"/>
                <w:sz w:val="22"/>
                <w:szCs w:val="22"/>
                <w:caps w:val="false"/>
                <w:rFonts w:ascii="Calibri" w:cs="Calibri" w:eastAsia="Calibri" w:hAnsi="Calibri"/>
              </w:rPr>
              <w:t xml:space="preserve">Write your OWN DOK-3 question for this standard, then a one-sentence answer key. Use the supports below — everyone can do this.</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HOW TO WRITE A DOK-3 QUESTION (supports)</w:t>
            </w:r>
          </w:p>
          <w:p>
            <w:pPr>
              <w:spacing w:after="40"/>
            </w:pPr>
            <w:r>
              <w:rPr>
                <w:b w:val="false"/>
                <w:bCs w:val="false"/>
                <w:i w:val="false"/>
                <w:iCs w:val="false"/>
                <w:color w:val="1A1A1A"/>
                <w:sz w:val="22"/>
                <w:szCs w:val="22"/>
                <w:caps w:val="false"/>
                <w:rFonts w:ascii="Calibri" w:cs="Calibri" w:eastAsia="Calibri" w:hAnsi="Calibri"/>
              </w:rPr>
              <w:t xml:space="preserve">DOK-3 = strategic thinking: the reader must analyze, compare, evaluate, or justify using evidence — and there should be more than one defensible answer (not a fact you can just look up).</w:t>
            </w:r>
          </w:p>
          <w:p>
            <w:pPr>
              <w:spacing w:after="40"/>
            </w:pPr>
            <w:r>
              <w:rPr>
                <w:b w:val="false"/>
                <w:bCs w:val="false"/>
                <w:i w:val="false"/>
                <w:iCs w:val="false"/>
                <w:color w:val="1A1A1A"/>
                <w:sz w:val="22"/>
                <w:szCs w:val="22"/>
                <w:caps w:val="false"/>
                <w:rFonts w:ascii="Calibri" w:cs="Calibri" w:eastAsia="Calibri" w:hAnsi="Calibri"/>
              </w:rPr>
              <w:t xml:space="preserve">Sentence starters: “Why did ______ lead to ______?”  ·  “Which mattered more — ______ or ______ — and why?”  ·  “What is the BEST evidence that ______?”  ·  “Evaluate whether ______.”  ·  “Defend or challenge: ______.”</w:t>
            </w:r>
          </w:p>
          <w:p>
            <w:pPr>
              <w:spacing w:after="40"/>
            </w:pPr>
            <w:r>
              <w:rPr>
                <w:b w:val="false"/>
                <w:bCs w:val="false"/>
                <w:i w:val="false"/>
                <w:iCs w:val="false"/>
                <w:color w:val="1A1A1A"/>
                <w:sz w:val="22"/>
                <w:szCs w:val="22"/>
                <w:caps w:val="false"/>
                <w:rFonts w:ascii="Calibri" w:cs="Calibri" w:eastAsia="Calibri" w:hAnsi="Calibri"/>
              </w:rPr>
              <w:t xml:space="preserve">Frame:  [Analyze / Evaluate / Justify]  +  [something from THIS standard]  +  “using evidence.”</w:t>
            </w:r>
          </w:p>
          <w:p>
            <w:pPr>
              <w:spacing w:after="40"/>
            </w:pPr>
            <w:r>
              <w:rPr>
                <w:b w:val="false"/>
                <w:bCs w:val="false"/>
                <w:i w:val="false"/>
                <w:iCs w:val="false"/>
                <w:color w:val="1A1A1A"/>
                <w:sz w:val="22"/>
                <w:szCs w:val="22"/>
                <w:caps w:val="false"/>
                <w:rFonts w:ascii="Calibri" w:cs="Calibri" w:eastAsia="Calibri" w:hAnsi="Calibri"/>
              </w:rPr>
              <w:t xml:space="preserve">Quick check: does my question make the reader THINK and use evidence? If yes, it’s DOK-3.</w:t>
            </w:r>
          </w:p>
        </w:tc>
      </w:tr>
    </w:tbl>
    <w:p>
      <w:pPr>
        <w:spacing w:after="120"/>
      </w:pPr>
      <w:r>
        <w:rPr>
          <w:b w:val="false"/>
          <w:bCs w:val="false"/>
          <w:i w:val="false"/>
          <w:iCs w:val="false"/>
          <w:color w:val="1A1A1A"/>
          <w:sz w:val="12"/>
          <w:szCs w:val="12"/>
          <w:caps w:val="false"/>
          <w:rFonts w:ascii="Calibri" w:cs="Calibri" w:eastAsia="Calibri" w:hAnsi="Calibri"/>
        </w:rPr>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NOW WRITE YOUR DOK-3 QUESTION HERE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21"/>
                <w:szCs w:val="21"/>
                <w:caps w:val="false"/>
                <w:rFonts w:ascii="Calibri" w:cs="Calibri" w:eastAsia="Calibri" w:hAnsi="Calibri"/>
              </w:rPr>
              <w:t xml:space="preserve">YOUR ANSWER KEY — one clear, defensible sentence</w:t>
            </w:r>
          </w:p>
        </w:tc>
      </w:tr>
      <w:tr>
        <w:tc>
          <w:tcPr>
            <w:tcW w:type="dxa" w:w="9792"/>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Activity 7 — Constructed Response (CER) — GC.27</w:t>
      </w:r>
      <w:r>
        <w:rPr>
          <w:b/>
          <w:bCs/>
          <w:i w:val="false"/>
          <w:iCs w:val="false"/>
          <w:color w:val="C89B3C"/>
          <w:sz w:val="18"/>
          <w:szCs w:val="18"/>
          <w:caps w:val="false"/>
          <w:rFonts w:ascii="Calibri" w:cs="Calibri" w:eastAsia="Calibri" w:hAnsi="Calibri"/>
        </w:rPr>
        <w:t xml:space="preserve">    ⏱ ~15 min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BIG-QUESTION ORGANIZER (before you write) — How do the courts decide where your rights end and the government's power begins?</w:t>
            </w:r>
          </w:p>
          <w:p>
            <w:pPr>
              <w:spacing w:after="40"/>
            </w:pPr>
            <w:r>
              <w:rPr>
                <w:b w:val="false"/>
                <w:bCs w:val="false"/>
                <w:i w:val="false"/>
                <w:iCs w:val="false"/>
                <w:color w:val="1A1A1A"/>
                <w:sz w:val="22"/>
                <w:szCs w:val="22"/>
                <w:caps w:val="false"/>
                <w:rFonts w:ascii="Calibri" w:cs="Calibri" w:eastAsia="Calibri" w:hAnsi="Calibri"/>
              </w:rPr>
              <w:t xml:space="preserve">Plan your argument here, then use it to write your claim, evidence, and reasoning below.</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096"/>
        <w:gridCol w:w="6696"/>
      </w:tblGrid>
      <w:tr>
        <w:trPr>
          <w:tblHeader/>
        </w:trPr>
        <w:tc>
          <w:tcPr>
            <w:tcW w:type="dxa" w:w="3096"/>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Plan your argument</w:t>
            </w:r>
          </w:p>
        </w:tc>
        <w:tc>
          <w:tcPr>
            <w:tcW w:type="dxa" w:w="6696"/>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quick notes (from this standard)</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 (answer the prompt)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(a source or fact)</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0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 (why it proves the claim)</w:t>
            </w:r>
          </w:p>
        </w:tc>
        <w:tc>
          <w:tcPr>
            <w:tcW w:type="dxa" w:w="6696"/>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CONSTRUCTED RESPONSE (CER) — builds SSP.04 Argumentation</w:t>
            </w:r>
          </w:p>
          <w:p>
            <w:pPr>
              <w:spacing w:after="40"/>
            </w:pPr>
            <w:r>
              <w:rPr>
                <w:b w:val="false"/>
                <w:bCs w:val="false"/>
                <w:i w:val="false"/>
                <w:iCs w:val="false"/>
                <w:color w:val="1A1A1A"/>
                <w:sz w:val="22"/>
                <w:szCs w:val="22"/>
                <w:caps w:val="false"/>
                <w:rFonts w:ascii="Calibri" w:cs="Calibri" w:eastAsia="Calibri" w:hAnsi="Calibri"/>
              </w:rPr>
              <w:t xml:space="preserve">Claim + Evidence + Reasoning: Which did more to expand rights for underserved groups — legislation like Title IX and the ADA, or Supreme Court rulings? Defend your claim with evidence.</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233"/>
        <w:gridCol w:w="7559"/>
      </w:tblGrid>
      <w:tr>
        <w:trPr>
          <w:tblHeader/>
        </w:trPr>
        <w:tc>
          <w:tcPr>
            <w:tcW w:type="dxa" w:w="223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Part</w:t>
            </w:r>
          </w:p>
        </w:tc>
        <w:tc>
          <w:tcPr>
            <w:tcW w:type="dxa" w:w="7559"/>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Claim</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(two specifics)</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233"/>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Reasoning</w:t>
            </w:r>
          </w:p>
        </w:tc>
        <w:tc>
          <w:tcPr>
            <w:tcW w:type="dxa" w:w="7559"/>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2"/>
        <w:keepNext/>
        <w:pageBreakBefore/>
        <w:spacing w:before="150" w:after="90"/>
      </w:pPr>
      <w:r>
        <w:rPr>
          <w:b/>
          <w:bCs/>
          <w:i w:val="false"/>
          <w:iCs w:val="false"/>
          <w:color w:val="1B2A4A"/>
          <w:sz w:val="28"/>
          <w:szCs w:val="28"/>
          <w:caps w:val="false"/>
          <w:rFonts w:ascii="Calibri" w:cs="Calibri" w:eastAsia="Calibri" w:hAnsi="Calibri"/>
        </w:rPr>
        <w:t xml:space="preserve">Constructed Response — self-grade &amp; supports — GC.27</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SELF-GRADE — score your own CER against the rubric below</w:t>
            </w:r>
          </w:p>
          <w:p>
            <w:pPr>
              <w:spacing w:after="40"/>
            </w:pPr>
            <w:r>
              <w:rPr>
                <w:b w:val="false"/>
                <w:bCs w:val="false"/>
                <w:i w:val="false"/>
                <w:iCs w:val="false"/>
                <w:color w:val="1A1A1A"/>
                <w:sz w:val="22"/>
                <w:szCs w:val="22"/>
                <w:caps w:val="false"/>
                <w:rFonts w:ascii="Calibri" w:cs="Calibri" w:eastAsia="Calibri" w:hAnsi="Calibri"/>
              </w:rPr>
              <w:t xml:space="preserve">Reread your response, then circle the level that best fits each part. Being honest here is how you level up.</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00"/>
        <w:gridCol w:w="2664"/>
        <w:gridCol w:w="2664"/>
        <w:gridCol w:w="2664"/>
      </w:tblGrid>
      <w:tr>
        <w:trPr>
          <w:tblHeader/>
        </w:trPr>
        <w:tc>
          <w:tcPr>
            <w:tcW w:type="dxa" w:w="1800"/>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6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00"/>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 / missing</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 / inaccurate</w:t>
            </w:r>
          </w:p>
        </w:tc>
        <w:tc>
          <w:tcPr>
            <w:tcW w:type="dxa" w:w="266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MY SCORE</w:t>
            </w:r>
          </w:p>
          <w:p>
            <w:pPr>
              <w:spacing w:after="40"/>
            </w:pPr>
            <w:r>
              <w:rPr>
                <w:b w:val="false"/>
                <w:bCs w:val="false"/>
                <w:i w:val="false"/>
                <w:iCs w:val="false"/>
                <w:color w:val="1A1A1A"/>
                <w:sz w:val="22"/>
                <w:szCs w:val="22"/>
                <w:caps w:val="false"/>
                <w:rFonts w:ascii="Calibri" w:cs="Calibri" w:eastAsia="Calibri" w:hAnsi="Calibri"/>
              </w:rPr>
              <w:t xml:space="preserve">Claim: ____ / 4        Evidence: ____ / 4        Reasoning: ____ / 4        TOTAL: ____ / 12</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SUPPORTS — sentence frames (use if you need them)</w:t>
            </w:r>
          </w:p>
          <w:p>
            <w:pPr>
              <w:spacing w:after="40"/>
            </w:pPr>
            <w:r>
              <w:rPr>
                <w:b w:val="false"/>
                <w:bCs w:val="false"/>
                <w:i w:val="false"/>
                <w:iCs w:val="false"/>
                <w:color w:val="1A1A1A"/>
                <w:sz w:val="22"/>
                <w:szCs w:val="22"/>
                <w:caps w:val="false"/>
                <w:rFonts w:ascii="Calibri" w:cs="Calibri" w:eastAsia="Calibri" w:hAnsi="Calibri"/>
              </w:rPr>
              <w:t xml:space="preserve">Claim: “______ because ______.”</w:t>
            </w:r>
          </w:p>
          <w:p>
            <w:pPr>
              <w:spacing w:after="40"/>
            </w:pPr>
            <w:r>
              <w:rPr>
                <w:b w:val="false"/>
                <w:bCs w:val="false"/>
                <w:i w:val="false"/>
                <w:iCs w:val="false"/>
                <w:color w:val="1A1A1A"/>
                <w:sz w:val="22"/>
                <w:szCs w:val="22"/>
                <w:caps w:val="false"/>
                <w:rFonts w:ascii="Calibri" w:cs="Calibri" w:eastAsia="Calibri" w:hAnsi="Calibri"/>
              </w:rPr>
              <w:t xml:space="preserve">Evidence: “One example is ______ (from ______).  Another is ______.”</w:t>
            </w:r>
          </w:p>
          <w:p>
            <w:pPr>
              <w:spacing w:after="40"/>
            </w:pPr>
            <w:r>
              <w:rPr>
                <w:b w:val="false"/>
                <w:bCs w:val="false"/>
                <w:i w:val="false"/>
                <w:iCs w:val="false"/>
                <w:color w:val="1A1A1A"/>
                <w:sz w:val="22"/>
                <w:szCs w:val="22"/>
                <w:caps w:val="false"/>
                <w:rFonts w:ascii="Calibri" w:cs="Calibri" w:eastAsia="Calibri" w:hAnsi="Calibri"/>
              </w:rPr>
              <w:t xml:space="preserve">Reasoning: “This proves my claim because ______, which shows ______.”</w:t>
            </w:r>
          </w:p>
        </w:tc>
      </w:tr>
    </w:tbl>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REVISE — make your lowest-scoring part stronger</w:t>
            </w:r>
          </w:p>
          <w:p>
            <w:pPr>
              <w:spacing w:after="40"/>
            </w:pPr>
            <w:r>
              <w:rPr>
                <w:b w:val="false"/>
                <w:bCs w:val="false"/>
                <w:i w:val="false"/>
                <w:iCs w:val="false"/>
                <w:color w:val="1A1A1A"/>
                <w:sz w:val="22"/>
                <w:szCs w:val="22"/>
                <w:caps w:val="false"/>
                <w:rFonts w:ascii="Calibri" w:cs="Calibri" w:eastAsia="Calibri" w:hAnsi="Calibri"/>
              </w:rPr>
              <w:t xml:space="preserve">Pick the part you scored lowest and rewrite it here — better:</w:t>
            </w:r>
          </w:p>
        </w:tc>
      </w:tr>
    </w:tbl>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p>
      <w:pPr>
        <w:pStyle w:val="Heading1"/>
        <w:keepNext/>
        <w:spacing w:before="220" w:after="90"/>
      </w:pPr>
      <w:r>
        <w:rPr>
          <w:b/>
          <w:bCs/>
          <w:i w:val="false"/>
          <w:iCs w:val="false"/>
          <w:color w:val="1B2A4A"/>
          <w:sz w:val="36"/>
          <w:szCs w:val="36"/>
          <w:caps w:val="false"/>
          <w:rFonts w:ascii="Calibri" w:cs="Calibri" w:eastAsia="Calibri" w:hAnsi="Calibri"/>
        </w:rPr>
        <w:t xml:space="preserve">Your Tennessee Connection</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9792"/>
      </w:tblGrid>
      <w:tr>
        <w:tc>
          <w:tcPr>
            <w:tcW w:type="dxa" w:w="9792"/>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60"/>
            </w:pPr>
            <w:r>
              <w:rPr>
                <w:b/>
                <w:bCs/>
                <w:i w:val="false"/>
                <w:iCs w:val="false"/>
                <w:color w:val="1B2A4A"/>
                <w:sz w:val="21"/>
                <w:szCs w:val="21"/>
                <w:caps w:val="false"/>
                <w:rFonts w:ascii="Calibri" w:cs="Calibri" w:eastAsia="Calibri" w:hAnsi="Calibri"/>
              </w:rPr>
              <w:t xml:space="preserve">★ TENNESSEE CONNECTION</w:t>
            </w:r>
          </w:p>
          <w:p>
            <w:pPr>
              <w:spacing w:after="40"/>
            </w:pPr>
            <w:r>
              <w:rPr>
                <w:b w:val="false"/>
                <w:bCs w:val="false"/>
                <w:i w:val="false"/>
                <w:iCs w:val="false"/>
                <w:color w:val="1A1A1A"/>
                <w:sz w:val="22"/>
                <w:szCs w:val="22"/>
                <w:caps w:val="false"/>
                <w:rFonts w:ascii="Calibri" w:cs="Calibri" w:eastAsia="Calibri" w:hAnsi="Calibri"/>
              </w:rPr>
              <w:t xml:space="preserve">One of the most famous civil-liberties trials in American history happened in Tennessee. In State of Tennessee v. Scopes (1925), a Dayton teacher named John Scopes was tried under the Butler Act for teaching evolution — the first U.S. law to ban it. The ACLU defended the case as a fight for academic freedom and free speech; Scopes was convicted, but the Tennessee Supreme Court later reversed the conviction on a technicality (GC.23).</w:t>
            </w:r>
          </w:p>
        </w:tc>
      </w:tr>
    </w:tbl>
    <w:p>
      <w:pPr>
        <w:spacing w:after="100"/>
      </w:pPr>
      <w:r>
        <w:rPr>
          <w:b w:val="false"/>
          <w:bCs w:val="false"/>
          <w:i w:val="false"/>
          <w:iCs w:val="false"/>
          <w:color w:val="1A1A1A"/>
          <w:sz w:val="21"/>
          <w:szCs w:val="21"/>
          <w:caps w:val="false"/>
          <w:rFonts w:ascii="Calibri" w:cs="Calibri" w:eastAsia="Calibri" w:hAnsi="Calibri"/>
        </w:rPr>
        <w:t xml:space="preserve">Reflect (RESPONSE CHOICE): How does a Tennessee connection change the way you understand a national idea? Answer by writing, recording, or diagramming.</w:t>
      </w:r>
    </w:p>
    <w:p>
      <w:pPr>
        <w:pStyle w:val="Heading2"/>
        <w:keepNext/>
        <w:spacing w:before="150" w:after="90"/>
      </w:pPr>
      <w:r>
        <w:rPr>
          <w:b/>
          <w:bCs/>
          <w:i w:val="false"/>
          <w:iCs w:val="false"/>
          <w:color w:val="1B2A4A"/>
          <w:sz w:val="28"/>
          <w:szCs w:val="28"/>
          <w:caps w:val="false"/>
          <w:rFonts w:ascii="Calibri" w:cs="Calibri" w:eastAsia="Calibri" w:hAnsi="Calibri"/>
        </w:rPr>
        <w:t xml:space="preserve">Tennessee Civics Investigation</w:t>
      </w:r>
    </w:p>
    <w:p>
      <w:pPr>
        <w:spacing w:after="100"/>
      </w:pPr>
      <w:r>
        <w:rPr>
          <w:b w:val="false"/>
          <w:bCs w:val="false"/>
          <w:i w:val="false"/>
          <w:iCs w:val="false"/>
          <w:color w:val="1A1A1A"/>
          <w:sz w:val="22"/>
          <w:szCs w:val="22"/>
          <w:caps w:val="false"/>
          <w:rFonts w:ascii="Calibri" w:cs="Calibri" w:eastAsia="Calibri" w:hAnsi="Calibri"/>
        </w:rPr>
        <w:t xml:space="preserve">Tennessee was the stage for a landmark free-speech and academic-freedom fight. Investigate one right protected by the First Amendment and one way it is debated in schools today, and record what you find with a source.</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3451"/>
        <w:gridCol w:w="6341"/>
      </w:tblGrid>
      <w:tr>
        <w:trPr>
          <w:tblHeader/>
        </w:trPr>
        <w:tc>
          <w:tcPr>
            <w:tcW w:type="dxa" w:w="3451"/>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Prompt</w:t>
            </w:r>
          </w:p>
        </w:tc>
        <w:tc>
          <w:tcPr>
            <w:tcW w:type="dxa" w:w="6341"/>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Your findings</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A Tennessee example connected to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source I could check (library, TN Secretary of State, TSLA, a representative’s office)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How it connects to a standard in this unit</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3451"/>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One question I still have</w:t>
            </w:r>
          </w:p>
        </w:tc>
        <w:tc>
          <w:tcPr>
            <w:tcW w:type="dxa" w:w="6341"/>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Progress Tracker &amp; Cumulative Review</w:t>
      </w:r>
    </w:p>
    <w:p>
      <w:pPr>
        <w:spacing w:after="100"/>
      </w:pPr>
      <w:r>
        <w:rPr>
          <w:b w:val="false"/>
          <w:bCs w:val="false"/>
          <w:i w:val="false"/>
          <w:iCs w:val="false"/>
          <w:color w:val="1A1A1A"/>
          <w:sz w:val="22"/>
          <w:szCs w:val="22"/>
          <w:caps w:val="false"/>
          <w:rFonts w:ascii="Calibri" w:cs="Calibri" w:eastAsia="Calibri" w:hAnsi="Calibri"/>
        </w:rPr>
        <w:t xml:space="preserve">Track your Progress Check result for each standard and note one thing to revisit.</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624"/>
        <w:gridCol w:w="4084"/>
        <w:gridCol w:w="4084"/>
      </w:tblGrid>
      <w:tr>
        <w:trPr>
          <w:tblHeader/>
        </w:trPr>
        <w:tc>
          <w:tcPr>
            <w:tcW w:type="dxa" w:w="1624"/>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Standard</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Progress Check (✓ / reteach)</w:t>
            </w:r>
          </w:p>
        </w:tc>
        <w:tc>
          <w:tcPr>
            <w:tcW w:type="dxa" w:w="4084"/>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One thing to revisit</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GC.23</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GC.24</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GC.25</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GC.26</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1624"/>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GC.27</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c>
          <w:tcPr>
            <w:tcW w:type="dxa" w:w="4084"/>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p>
      <w:pPr>
        <w:pStyle w:val="Heading1"/>
        <w:keepNext/>
        <w:spacing w:before="220" w:after="90"/>
      </w:pPr>
      <w:r>
        <w:rPr>
          <w:b/>
          <w:bCs/>
          <w:i w:val="false"/>
          <w:iCs w:val="false"/>
          <w:color w:val="1B2A4A"/>
          <w:sz w:val="36"/>
          <w:szCs w:val="36"/>
          <w:caps w:val="false"/>
          <w:rFonts w:ascii="Calibri" w:cs="Calibri" w:eastAsia="Calibri" w:hAnsi="Calibri"/>
        </w:rPr>
        <w:t xml:space="preserve">Optional Extension Bank (higher-DOK, open to all)</w:t>
      </w:r>
    </w:p>
    <w:p>
      <w:pPr>
        <w:spacing w:after="100"/>
      </w:pPr>
      <w:r>
        <w:rPr>
          <w:b w:val="false"/>
          <w:bCs w:val="false"/>
          <w:i w:val="false"/>
          <w:iCs w:val="false"/>
          <w:color w:val="1A1A1A"/>
          <w:sz w:val="22"/>
          <w:szCs w:val="22"/>
          <w:caps w:val="false"/>
          <w:rFonts w:ascii="Calibri" w:cs="Calibri" w:eastAsia="Calibri" w:hAnsi="Calibri"/>
        </w:rPr>
        <w:t xml:space="preserve">Any student may choose an extension. These are EXTENSION, not a track.</w:t>
      </w:r>
    </w:p>
    <w:p>
      <w:pPr>
        <w:spacing w:after="100"/>
      </w:pPr>
      <w:r>
        <w:rPr>
          <w:b/>
          <w:bCs/>
          <w:i w:val="false"/>
          <w:iCs w:val="false"/>
          <w:color w:val="1B2A4A"/>
          <w:sz w:val="21"/>
          <w:szCs w:val="21"/>
          <w:caps w:val="false"/>
          <w:rFonts w:ascii="Calibri" w:cs="Calibri" w:eastAsia="Calibri" w:hAnsi="Calibri"/>
        </w:rPr>
        <w:t xml:space="preserve">GC.23: </w:t>
      </w:r>
      <w:r>
        <w:rPr>
          <w:b w:val="false"/>
          <w:bCs w:val="false"/>
          <w:i w:val="false"/>
          <w:iCs w:val="false"/>
          <w:color w:val="1A1A1A"/>
          <w:sz w:val="21"/>
          <w:szCs w:val="21"/>
          <w:caps w:val="false"/>
          <w:rFonts w:ascii="Calibri" w:cs="Calibri" w:eastAsia="Calibri" w:hAnsi="Calibri"/>
        </w:rPr>
        <w:t xml:space="preserve">Should student speech be more limited than adult speech? Defend your claim using Tinker and one other case.</w:t>
      </w:r>
    </w:p>
    <w:p>
      <w:pPr>
        <w:spacing w:after="100"/>
      </w:pPr>
      <w:r>
        <w:rPr>
          <w:b/>
          <w:bCs/>
          <w:i w:val="false"/>
          <w:iCs w:val="false"/>
          <w:color w:val="1B2A4A"/>
          <w:sz w:val="21"/>
          <w:szCs w:val="21"/>
          <w:caps w:val="false"/>
          <w:rFonts w:ascii="Calibri" w:cs="Calibri" w:eastAsia="Calibri" w:hAnsi="Calibri"/>
        </w:rPr>
        <w:t xml:space="preserve">GC.24: </w:t>
      </w:r>
      <w:r>
        <w:rPr>
          <w:b w:val="false"/>
          <w:bCs w:val="false"/>
          <w:i w:val="false"/>
          <w:iCs w:val="false"/>
          <w:color w:val="1A1A1A"/>
          <w:sz w:val="21"/>
          <w:szCs w:val="21"/>
          <w:caps w:val="false"/>
          <w:rFonts w:ascii="Calibri" w:cs="Calibri" w:eastAsia="Calibri" w:hAnsi="Calibri"/>
        </w:rPr>
        <w:t xml:space="preserve">Does the Second Amendment protect an individual right, a militia right, or both? Defend your claim using the text and Heller.</w:t>
      </w:r>
    </w:p>
    <w:p>
      <w:pPr>
        <w:spacing w:after="100"/>
      </w:pPr>
      <w:r>
        <w:rPr>
          <w:b/>
          <w:bCs/>
          <w:i w:val="false"/>
          <w:iCs w:val="false"/>
          <w:color w:val="1B2A4A"/>
          <w:sz w:val="21"/>
          <w:szCs w:val="21"/>
          <w:caps w:val="false"/>
          <w:rFonts w:ascii="Calibri" w:cs="Calibri" w:eastAsia="Calibri" w:hAnsi="Calibri"/>
        </w:rPr>
        <w:t xml:space="preserve">GC.25: </w:t>
      </w:r>
      <w:r>
        <w:rPr>
          <w:b w:val="false"/>
          <w:bCs w:val="false"/>
          <w:i w:val="false"/>
          <w:iCs w:val="false"/>
          <w:color w:val="1A1A1A"/>
          <w:sz w:val="21"/>
          <w:szCs w:val="21"/>
          <w:caps w:val="false"/>
          <w:rFonts w:ascii="Calibri" w:cs="Calibri" w:eastAsia="Calibri" w:hAnsi="Calibri"/>
        </w:rPr>
        <w:t xml:space="preserve">Do the rights of the accused protect the innocent or shield the guilty? Defend your claim using Gideon and one other case.</w:t>
      </w:r>
    </w:p>
    <w:p>
      <w:pPr>
        <w:spacing w:after="100"/>
      </w:pPr>
      <w:r>
        <w:rPr>
          <w:b/>
          <w:bCs/>
          <w:i w:val="false"/>
          <w:iCs w:val="false"/>
          <w:color w:val="1B2A4A"/>
          <w:sz w:val="21"/>
          <w:szCs w:val="21"/>
          <w:caps w:val="false"/>
          <w:rFonts w:ascii="Calibri" w:cs="Calibri" w:eastAsia="Calibri" w:hAnsi="Calibri"/>
        </w:rPr>
        <w:t xml:space="preserve">GC.26: </w:t>
      </w:r>
      <w:r>
        <w:rPr>
          <w:b w:val="false"/>
          <w:bCs w:val="false"/>
          <w:i w:val="false"/>
          <w:iCs w:val="false"/>
          <w:color w:val="1A1A1A"/>
          <w:sz w:val="21"/>
          <w:szCs w:val="21"/>
          <w:caps w:val="false"/>
          <w:rFonts w:ascii="Calibri" w:cs="Calibri" w:eastAsia="Calibri" w:hAnsi="Calibri"/>
        </w:rPr>
        <w:t xml:space="preserve">How can the same Equal Protection Clause justify both Plessy (1896) and Brown (1954)? Defend a claim about how constitutional meaning changes.</w:t>
      </w:r>
    </w:p>
    <w:p>
      <w:pPr>
        <w:spacing w:after="100"/>
      </w:pPr>
      <w:r>
        <w:rPr>
          <w:b/>
          <w:bCs/>
          <w:i w:val="false"/>
          <w:iCs w:val="false"/>
          <w:color w:val="1B2A4A"/>
          <w:sz w:val="21"/>
          <w:szCs w:val="21"/>
          <w:caps w:val="false"/>
          <w:rFonts w:ascii="Calibri" w:cs="Calibri" w:eastAsia="Calibri" w:hAnsi="Calibri"/>
        </w:rPr>
        <w:t xml:space="preserve">GC.27: </w:t>
      </w:r>
      <w:r>
        <w:rPr>
          <w:b w:val="false"/>
          <w:bCs w:val="false"/>
          <w:i w:val="false"/>
          <w:iCs w:val="false"/>
          <w:color w:val="1A1A1A"/>
          <w:sz w:val="21"/>
          <w:szCs w:val="21"/>
          <w:caps w:val="false"/>
          <w:rFonts w:ascii="Calibri" w:cs="Calibri" w:eastAsia="Calibri" w:hAnsi="Calibri"/>
        </w:rPr>
        <w:t xml:space="preserve">Which did more to expand rights for underserved groups — legislation like Title IX and the ADA, or Supreme Court rulings? Defend your claim with evidence.</w:t>
      </w:r>
    </w:p>
    <w:p>
      <w:pPr>
        <w:pStyle w:val="Heading1"/>
        <w:keepNext/>
        <w:spacing w:before="220" w:after="90"/>
      </w:pPr>
      <w:r>
        <w:rPr>
          <w:b/>
          <w:bCs/>
          <w:i w:val="false"/>
          <w:iCs w:val="false"/>
          <w:color w:val="1B2A4A"/>
          <w:sz w:val="36"/>
          <w:szCs w:val="36"/>
          <w:caps w:val="false"/>
          <w:rFonts w:ascii="Calibri" w:cs="Calibri" w:eastAsia="Calibri" w:hAnsi="Calibri"/>
        </w:rPr>
        <w:t xml:space="preserve">Reusable Toolkit &amp; Source Library</w:t>
      </w:r>
    </w:p>
    <w:p>
      <w:pPr>
        <w:pStyle w:val="Heading2"/>
        <w:keepNext/>
        <w:spacing w:before="150" w:after="90"/>
      </w:pPr>
      <w:r>
        <w:rPr>
          <w:b/>
          <w:bCs/>
          <w:i w:val="false"/>
          <w:iCs w:val="false"/>
          <w:color w:val="1B2A4A"/>
          <w:sz w:val="28"/>
          <w:szCs w:val="28"/>
          <w:caps w:val="false"/>
          <w:rFonts w:ascii="Calibri" w:cs="Calibri" w:eastAsia="Calibri" w:hAnsi="Calibri"/>
        </w:rPr>
        <w:t xml:space="preserve">Written Response Rubric (CER)</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1827"/>
        <w:gridCol w:w="2655"/>
        <w:gridCol w:w="2655"/>
        <w:gridCol w:w="2655"/>
      </w:tblGrid>
      <w:tr>
        <w:trPr>
          <w:tblHeader/>
        </w:trPr>
        <w:tc>
          <w:tcPr>
            <w:tcW w:type="dxa" w:w="1827"/>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Level</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Claim</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Evidence</w:t>
            </w:r>
          </w:p>
        </w:tc>
        <w:tc>
          <w:tcPr>
            <w:tcW w:type="dxa" w:w="2655"/>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9"/>
                <w:szCs w:val="19"/>
                <w:caps w:val="false"/>
                <w:rFonts w:ascii="Calibri" w:cs="Calibri" w:eastAsia="Calibri" w:hAnsi="Calibri"/>
              </w:rPr>
              <w:t xml:space="preserve">Reasoning</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4 — Strong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Precise, defensible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 specific</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how evidence proves the claim</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3 — Proficient</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Clear</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Explains the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2 — Developing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General</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Partial link</w:t>
            </w:r>
          </w:p>
        </w:tc>
      </w:tr>
      <w:tr>
        <w:tc>
          <w:tcPr>
            <w:tcW w:type="dxa" w:w="1827"/>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1 — Beginning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Unclear/missing</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Missing/inaccurate</w:t>
            </w:r>
          </w:p>
        </w:tc>
        <w:tc>
          <w:tcPr>
            <w:tcW w:type="dxa" w:w="2655"/>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val="false"/>
                <w:bCs w:val="false"/>
                <w:i w:val="false"/>
                <w:iCs w:val="false"/>
                <w:color w:val="1A1A1A"/>
                <w:sz w:val="20"/>
                <w:szCs w:val="20"/>
                <w:caps w:val="false"/>
                <w:rFonts w:ascii="Calibri" w:cs="Calibri" w:eastAsia="Calibri" w:hAnsi="Calibri"/>
              </w:rPr>
              <w:t xml:space="preserve">No reasoning</w:t>
            </w:r>
          </w:p>
        </w:tc>
      </w:tr>
    </w:tbl>
    <w:p>
      <w:pPr>
        <w:pStyle w:val="Heading2"/>
        <w:keepNext/>
        <w:spacing w:before="150" w:after="90"/>
      </w:pPr>
      <w:r>
        <w:rPr>
          <w:b/>
          <w:bCs/>
          <w:i w:val="false"/>
          <w:iCs w:val="false"/>
          <w:color w:val="1B2A4A"/>
          <w:sz w:val="28"/>
          <w:szCs w:val="28"/>
          <w:caps w:val="false"/>
          <w:rFonts w:ascii="Calibri" w:cs="Calibri" w:eastAsia="Calibri" w:hAnsi="Calibri"/>
        </w:rPr>
        <w:t xml:space="preserve">Source Library — full citations &amp; clickable links</w:t>
      </w:r>
    </w:p>
    <w:p>
      <w:pPr>
        <w:spacing w:after="100"/>
      </w:pPr>
      <w:r>
        <w:rPr>
          <w:b/>
          <w:bCs/>
          <w:i w:val="false"/>
          <w:iCs w:val="false"/>
          <w:color w:val="1B2A4A"/>
          <w:sz w:val="21"/>
          <w:szCs w:val="21"/>
          <w:caps w:val="false"/>
          <w:rFonts w:ascii="Calibri" w:cs="Calibri" w:eastAsia="Calibri" w:hAnsi="Calibri"/>
        </w:rPr>
        <w:t xml:space="preserve">GC.23 — The First Amendment in Court</w:t>
      </w:r>
    </w:p>
    <w:p>
      <w:pPr>
        <w:spacing w:after="100"/>
      </w:pPr>
      <w:r>
        <w:rPr>
          <w:b/>
          <w:bCs/>
          <w:i w:val="false"/>
          <w:iCs w:val="false"/>
          <w:color w:val="1A1A1A"/>
          <w:sz w:val="19"/>
          <w:szCs w:val="19"/>
          <w:caps w:val="false"/>
          <w:rFonts w:ascii="Calibri" w:cs="Calibri" w:eastAsia="Calibri" w:hAnsi="Calibri"/>
        </w:rPr>
        <w:t xml:space="preserve">U.S. Constitution, Amendment 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Tinker v. Des Moines, 393 U.S. 503. </w:t>
      </w:r>
      <w:r>
        <w:rPr>
          <w:b w:val="false"/>
          <w:bCs w:val="false"/>
          <w:i w:val="false"/>
          <w:iCs w:val="false"/>
          <w:color w:val="1A1A1A"/>
          <w:sz w:val="19"/>
          <w:szCs w:val="19"/>
          <w:caps w:val="false"/>
          <w:rFonts w:ascii="Calibri" w:cs="Calibri" w:eastAsia="Calibri" w:hAnsi="Calibri"/>
        </w:rPr>
        <w:t xml:space="preserve">Justice Abe Fortas, 1969.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https://supreme.justia.com/cases/federal/us/393/503/</w:t>
      </w:r>
    </w:p>
    <w:p>
      <w:pPr>
        <w:spacing w:after="100"/>
      </w:pPr>
      <w:r>
        <w:rPr>
          <w:b/>
          <w:bCs/>
          <w:i w:val="false"/>
          <w:iCs w:val="false"/>
          <w:color w:val="1B2A4A"/>
          <w:sz w:val="21"/>
          <w:szCs w:val="21"/>
          <w:caps w:val="false"/>
          <w:rFonts w:ascii="Calibri" w:cs="Calibri" w:eastAsia="Calibri" w:hAnsi="Calibri"/>
        </w:rPr>
        <w:t xml:space="preserve">GC.24 — The Second Amendment in Court</w:t>
      </w:r>
    </w:p>
    <w:p>
      <w:pPr>
        <w:spacing w:after="100"/>
      </w:pPr>
      <w:r>
        <w:rPr>
          <w:b/>
          <w:bCs/>
          <w:i w:val="false"/>
          <w:iCs w:val="false"/>
          <w:color w:val="1A1A1A"/>
          <w:sz w:val="19"/>
          <w:szCs w:val="19"/>
          <w:caps w:val="false"/>
          <w:rFonts w:ascii="Calibri" w:cs="Calibri" w:eastAsia="Calibri" w:hAnsi="Calibri"/>
        </w:rPr>
        <w:t xml:space="preserve">U.S. Constitution, Amendment II.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District of Columbia v. Heller, 554 U.S. 570. </w:t>
      </w:r>
      <w:r>
        <w:rPr>
          <w:b w:val="false"/>
          <w:bCs w:val="false"/>
          <w:i w:val="false"/>
          <w:iCs w:val="false"/>
          <w:color w:val="1A1A1A"/>
          <w:sz w:val="19"/>
          <w:szCs w:val="19"/>
          <w:caps w:val="false"/>
          <w:rFonts w:ascii="Calibri" w:cs="Calibri" w:eastAsia="Calibri" w:hAnsi="Calibri"/>
        </w:rPr>
        <w:t xml:space="preserve">Justice Antonin Scalia, 2008.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https://supreme.justia.com/cases/federal/us/554/570/</w:t>
      </w:r>
    </w:p>
    <w:p>
      <w:pPr>
        <w:spacing w:after="100"/>
      </w:pPr>
      <w:r>
        <w:rPr>
          <w:b/>
          <w:bCs/>
          <w:i w:val="false"/>
          <w:iCs w:val="false"/>
          <w:color w:val="1B2A4A"/>
          <w:sz w:val="21"/>
          <w:szCs w:val="21"/>
          <w:caps w:val="false"/>
          <w:rFonts w:ascii="Calibri" w:cs="Calibri" w:eastAsia="Calibri" w:hAnsi="Calibri"/>
        </w:rPr>
        <w:t xml:space="preserve">GC.25 — Rights of the Accused (4th–8th Amendments)</w:t>
      </w:r>
    </w:p>
    <w:p>
      <w:pPr>
        <w:spacing w:after="100"/>
      </w:pPr>
      <w:r>
        <w:rPr>
          <w:b/>
          <w:bCs/>
          <w:i w:val="false"/>
          <w:iCs w:val="false"/>
          <w:color w:val="1A1A1A"/>
          <w:sz w:val="19"/>
          <w:szCs w:val="19"/>
          <w:caps w:val="false"/>
          <w:rFonts w:ascii="Calibri" w:cs="Calibri" w:eastAsia="Calibri" w:hAnsi="Calibri"/>
        </w:rPr>
        <w:t xml:space="preserve">U.S. Constitution, Amendment VI. </w:t>
      </w:r>
      <w:r>
        <w:rPr>
          <w:b w:val="false"/>
          <w:bCs w:val="false"/>
          <w:i w:val="false"/>
          <w:iCs w:val="false"/>
          <w:color w:val="1A1A1A"/>
          <w:sz w:val="19"/>
          <w:szCs w:val="19"/>
          <w:caps w:val="false"/>
          <w:rFonts w:ascii="Calibri" w:cs="Calibri" w:eastAsia="Calibri" w:hAnsi="Calibri"/>
        </w:rPr>
        <w:t xml:space="preserve">1st U.S. Congress, 1791.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https://www.archives.gov/founding-docs/bill-of-rights-transcript</w:t>
      </w:r>
    </w:p>
    <w:p>
      <w:pPr>
        <w:spacing w:after="100"/>
      </w:pPr>
      <w:r>
        <w:rPr>
          <w:b/>
          <w:bCs/>
          <w:i w:val="false"/>
          <w:iCs w:val="false"/>
          <w:color w:val="1A1A1A"/>
          <w:sz w:val="19"/>
          <w:szCs w:val="19"/>
          <w:caps w:val="false"/>
          <w:rFonts w:ascii="Calibri" w:cs="Calibri" w:eastAsia="Calibri" w:hAnsi="Calibri"/>
        </w:rPr>
        <w:t xml:space="preserve">Gideon v. Wainwright, 372 U.S. 335. </w:t>
      </w:r>
      <w:r>
        <w:rPr>
          <w:b w:val="false"/>
          <w:bCs w:val="false"/>
          <w:i w:val="false"/>
          <w:iCs w:val="false"/>
          <w:color w:val="1A1A1A"/>
          <w:sz w:val="19"/>
          <w:szCs w:val="19"/>
          <w:caps w:val="false"/>
          <w:rFonts w:ascii="Calibri" w:cs="Calibri" w:eastAsia="Calibri" w:hAnsi="Calibri"/>
        </w:rPr>
        <w:t xml:space="preserve">Justice Hugo Black, 1963.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https://supreme.justia.com/cases/federal/us/372/335/</w:t>
      </w:r>
    </w:p>
    <w:p>
      <w:pPr>
        <w:spacing w:after="100"/>
      </w:pPr>
      <w:r>
        <w:rPr>
          <w:b/>
          <w:bCs/>
          <w:i w:val="false"/>
          <w:iCs w:val="false"/>
          <w:color w:val="1B2A4A"/>
          <w:sz w:val="21"/>
          <w:szCs w:val="21"/>
          <w:caps w:val="false"/>
          <w:rFonts w:ascii="Calibri" w:cs="Calibri" w:eastAsia="Calibri" w:hAnsi="Calibri"/>
        </w:rPr>
        <w:t xml:space="preserve">GC.26 — The 14th Amendment — Equal Protection &amp; Due Process</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spacing w:after="100"/>
      </w:pPr>
      <w:r>
        <w:rPr>
          <w:b/>
          <w:bCs/>
          <w:i w:val="false"/>
          <w:iCs w:val="false"/>
          <w:color w:val="1A1A1A"/>
          <w:sz w:val="19"/>
          <w:szCs w:val="19"/>
          <w:caps w:val="false"/>
          <w:rFonts w:ascii="Calibri" w:cs="Calibri" w:eastAsia="Calibri" w:hAnsi="Calibri"/>
        </w:rPr>
        <w:t xml:space="preserve">Brown v. Board of Education, 347 U.S. 483. </w:t>
      </w:r>
      <w:r>
        <w:rPr>
          <w:b w:val="false"/>
          <w:bCs w:val="false"/>
          <w:i w:val="false"/>
          <w:iCs w:val="false"/>
          <w:color w:val="1A1A1A"/>
          <w:sz w:val="19"/>
          <w:szCs w:val="19"/>
          <w:caps w:val="false"/>
          <w:rFonts w:ascii="Calibri" w:cs="Calibri" w:eastAsia="Calibri" w:hAnsi="Calibri"/>
        </w:rPr>
        <w:t xml:space="preserve">Chief Justice Earl Warren, 1954. U.S. Reports (Justia). Public domain. </w:t>
      </w:r>
      <w:r>
        <w:rPr>
          <w:b w:val="false"/>
          <w:bCs w:val="false"/>
          <w:i w:val="false"/>
          <w:iCs w:val="false"/>
          <w:color w:val="2A5DB0"/>
          <w:sz w:val="17"/>
          <w:szCs w:val="17"/>
          <w:caps w:val="false"/>
          <w:rFonts w:ascii="Calibri" w:cs="Calibri" w:eastAsia="Calibri" w:hAnsi="Calibri"/>
        </w:rPr>
        <w:t xml:space="preserve">https://supreme.justia.com/cases/federal/us/347/483/</w:t>
      </w:r>
    </w:p>
    <w:p>
      <w:pPr>
        <w:spacing w:after="100"/>
      </w:pPr>
      <w:r>
        <w:rPr>
          <w:b/>
          <w:bCs/>
          <w:i w:val="false"/>
          <w:iCs w:val="false"/>
          <w:color w:val="1B2A4A"/>
          <w:sz w:val="21"/>
          <w:szCs w:val="21"/>
          <w:caps w:val="false"/>
          <w:rFonts w:ascii="Calibri" w:cs="Calibri" w:eastAsia="Calibri" w:hAnsi="Calibri"/>
        </w:rPr>
        <w:t xml:space="preserve">GC.27 — Rights for the Underserved</w:t>
      </w:r>
    </w:p>
    <w:p>
      <w:pPr>
        <w:spacing w:after="100"/>
      </w:pPr>
      <w:r>
        <w:rPr>
          <w:b/>
          <w:bCs/>
          <w:i w:val="false"/>
          <w:iCs w:val="false"/>
          <w:color w:val="1A1A1A"/>
          <w:sz w:val="19"/>
          <w:szCs w:val="19"/>
          <w:caps w:val="false"/>
          <w:rFonts w:ascii="Calibri" w:cs="Calibri" w:eastAsia="Calibri" w:hAnsi="Calibri"/>
        </w:rPr>
        <w:t xml:space="preserve">Title IX, Education Amendments of 1972. </w:t>
      </w:r>
      <w:r>
        <w:rPr>
          <w:b w:val="false"/>
          <w:bCs w:val="false"/>
          <w:i w:val="false"/>
          <w:iCs w:val="false"/>
          <w:color w:val="1A1A1A"/>
          <w:sz w:val="19"/>
          <w:szCs w:val="19"/>
          <w:caps w:val="false"/>
          <w:rFonts w:ascii="Calibri" w:cs="Calibri" w:eastAsia="Calibri" w:hAnsi="Calibri"/>
        </w:rPr>
        <w:t xml:space="preserve">U.S. Congress, 1972. U.S. Code, 20 U.S.C. § 1681. Public domain. </w:t>
      </w:r>
      <w:r>
        <w:rPr>
          <w:b w:val="false"/>
          <w:bCs w:val="false"/>
          <w:i w:val="false"/>
          <w:iCs w:val="false"/>
          <w:color w:val="2A5DB0"/>
          <w:sz w:val="17"/>
          <w:szCs w:val="17"/>
          <w:caps w:val="false"/>
          <w:rFonts w:ascii="Calibri" w:cs="Calibri" w:eastAsia="Calibri" w:hAnsi="Calibri"/>
        </w:rPr>
        <w:t xml:space="preserve">https://uscode.house.gov/view.xhtml?req=granuleid:USC-prelim-title20-section1681</w:t>
      </w:r>
    </w:p>
    <w:p>
      <w:pPr>
        <w:spacing w:after="100"/>
      </w:pPr>
      <w:r>
        <w:rPr>
          <w:b/>
          <w:bCs/>
          <w:i w:val="false"/>
          <w:iCs w:val="false"/>
          <w:color w:val="1A1A1A"/>
          <w:sz w:val="19"/>
          <w:szCs w:val="19"/>
          <w:caps w:val="false"/>
          <w:rFonts w:ascii="Calibri" w:cs="Calibri" w:eastAsia="Calibri" w:hAnsi="Calibri"/>
        </w:rPr>
        <w:t xml:space="preserve">U.S. Constitution, Amendment XIV, Section 1. </w:t>
      </w:r>
      <w:r>
        <w:rPr>
          <w:b w:val="false"/>
          <w:bCs w:val="false"/>
          <w:i w:val="false"/>
          <w:iCs w:val="false"/>
          <w:color w:val="1A1A1A"/>
          <w:sz w:val="19"/>
          <w:szCs w:val="19"/>
          <w:caps w:val="false"/>
          <w:rFonts w:ascii="Calibri" w:cs="Calibri" w:eastAsia="Calibri" w:hAnsi="Calibri"/>
        </w:rPr>
        <w:t xml:space="preserve">39th U.S. Congress, 1868. U.S. National Archives. Public domain. </w:t>
      </w:r>
      <w:r>
        <w:rPr>
          <w:b w:val="false"/>
          <w:bCs w:val="false"/>
          <w:i w:val="false"/>
          <w:iCs w:val="false"/>
          <w:color w:val="2A5DB0"/>
          <w:sz w:val="17"/>
          <w:szCs w:val="17"/>
          <w:caps w:val="false"/>
          <w:rFonts w:ascii="Calibri" w:cs="Calibri" w:eastAsia="Calibri" w:hAnsi="Calibri"/>
        </w:rPr>
        <w:t xml:space="preserve">https://www.archives.gov/founding-docs/amendments-11-27</w:t>
      </w:r>
    </w:p>
    <w:p>
      <w:pPr>
        <w:pStyle w:val="Heading1"/>
        <w:keepNext/>
        <w:spacing w:before="220" w:after="90"/>
      </w:pPr>
      <w:r>
        <w:rPr>
          <w:b/>
          <w:bCs/>
          <w:i w:val="false"/>
          <w:iCs w:val="false"/>
          <w:color w:val="1B2A4A"/>
          <w:sz w:val="36"/>
          <w:szCs w:val="36"/>
          <w:caps w:val="false"/>
          <w:rFonts w:ascii="Calibri" w:cs="Calibri" w:eastAsia="Calibri" w:hAnsi="Calibri"/>
        </w:rPr>
        <w:t xml:space="preserve">Whose Liberty? Perspectives on Rights</w:t>
      </w:r>
    </w:p>
    <w:p>
      <w:pPr>
        <w:spacing w:after="100"/>
      </w:pPr>
      <w:r>
        <w:rPr>
          <w:b w:val="false"/>
          <w:bCs w:val="false"/>
          <w:i w:val="false"/>
          <w:iCs w:val="false"/>
          <w:color w:val="1A1A1A"/>
          <w:sz w:val="22"/>
          <w:szCs w:val="22"/>
          <w:caps w:val="false"/>
          <w:rFonts w:ascii="Calibri" w:cs="Calibri" w:eastAsia="Calibri" w:hAnsi="Calibri"/>
        </w:rPr>
        <w:t xml:space="preserve">This section traces how the meaning of the Bill of Rights has been fought over case by case — expanded for some, contested by others, and applied to the states over time. It is Government Hack–authored instructional synthesis grounded in this unit's sourced record — not a primary source.</w:t>
      </w:r>
    </w:p>
    <w:p>
      <w:pPr>
        <w:pStyle w:val="Heading2"/>
        <w:keepNext/>
        <w:spacing w:before="150" w:after="90"/>
      </w:pPr>
      <w:r>
        <w:rPr>
          <w:b/>
          <w:bCs/>
          <w:i w:val="false"/>
          <w:iCs w:val="false"/>
          <w:color w:val="1B2A4A"/>
          <w:sz w:val="28"/>
          <w:szCs w:val="28"/>
          <w:caps w:val="false"/>
          <w:rFonts w:ascii="Calibri" w:cs="Calibri" w:eastAsia="Calibri" w:hAnsi="Calibri"/>
        </w:rPr>
        <w:t xml:space="preserve">The Individual vs. the State</w:t>
      </w:r>
    </w:p>
    <w:p>
      <w:pPr>
        <w:spacing w:after="100"/>
      </w:pPr>
      <w:r>
        <w:rPr>
          <w:b w:val="false"/>
          <w:bCs w:val="false"/>
          <w:i w:val="false"/>
          <w:iCs w:val="false"/>
          <w:color w:val="1A1A1A"/>
          <w:sz w:val="21"/>
          <w:szCs w:val="21"/>
          <w:caps w:val="false"/>
          <w:rFonts w:ascii="Calibri" w:cs="Calibri" w:eastAsia="Calibri" w:hAnsi="Calibri"/>
        </w:rPr>
        <w:t xml:space="preserve">Nearly every case here pits one person's liberty — to speak, protest, worship, remain silent, or be treated equally — against a government's claim of order or authority (GC.23–GC.26).</w:t>
      </w:r>
    </w:p>
    <w:p>
      <w:pPr>
        <w:pStyle w:val="Heading2"/>
        <w:keepNext/>
        <w:spacing w:before="150" w:after="90"/>
      </w:pPr>
      <w:r>
        <w:rPr>
          <w:b/>
          <w:bCs/>
          <w:i w:val="false"/>
          <w:iCs w:val="false"/>
          <w:color w:val="1B2A4A"/>
          <w:sz w:val="28"/>
          <w:szCs w:val="28"/>
          <w:caps w:val="false"/>
          <w:rFonts w:ascii="Calibri" w:cs="Calibri" w:eastAsia="Calibri" w:hAnsi="Calibri"/>
        </w:rPr>
        <w:t xml:space="preserve">Incorporation</w:t>
      </w:r>
    </w:p>
    <w:p>
      <w:pPr>
        <w:spacing w:after="100"/>
      </w:pPr>
      <w:r>
        <w:rPr>
          <w:b w:val="false"/>
          <w:bCs w:val="false"/>
          <w:i w:val="false"/>
          <w:iCs w:val="false"/>
          <w:color w:val="1A1A1A"/>
          <w:sz w:val="21"/>
          <w:szCs w:val="21"/>
          <w:caps w:val="false"/>
          <w:rFonts w:ascii="Calibri" w:cs="Calibri" w:eastAsia="Calibri" w:hAnsi="Calibri"/>
        </w:rPr>
        <w:t xml:space="preserve">Through the 14th Amendment, the Supreme Court gradually applied the Bill of Rights to the states, so protections once binding only the federal government now bind all governments (GC.26).</w:t>
      </w:r>
    </w:p>
    <w:p>
      <w:pPr>
        <w:pStyle w:val="Heading2"/>
        <w:keepNext/>
        <w:spacing w:before="150" w:after="90"/>
      </w:pPr>
      <w:r>
        <w:rPr>
          <w:b/>
          <w:bCs/>
          <w:i w:val="false"/>
          <w:iCs w:val="false"/>
          <w:color w:val="1B2A4A"/>
          <w:sz w:val="28"/>
          <w:szCs w:val="28"/>
          <w:caps w:val="false"/>
          <w:rFonts w:ascii="Calibri" w:cs="Calibri" w:eastAsia="Calibri" w:hAnsi="Calibri"/>
        </w:rPr>
        <w:t xml:space="preserve">The Expanding Circle</w:t>
      </w:r>
    </w:p>
    <w:p>
      <w:pPr>
        <w:spacing w:after="100"/>
      </w:pPr>
      <w:r>
        <w:rPr>
          <w:b w:val="false"/>
          <w:bCs w:val="false"/>
          <w:i w:val="false"/>
          <w:iCs w:val="false"/>
          <w:color w:val="1A1A1A"/>
          <w:sz w:val="21"/>
          <w:szCs w:val="21"/>
          <w:caps w:val="false"/>
          <w:rFonts w:ascii="Calibri" w:cs="Calibri" w:eastAsia="Calibri" w:hAnsi="Calibri"/>
        </w:rPr>
        <w:t xml:space="preserve">Legislation and rulings extended rights to groups long left out — by race, sex, and disability — through Brown, Title IX, the ADA, and more (GC.26, GC.27).</w:t>
      </w:r>
    </w:p>
    <w:p>
      <w:pPr>
        <w:pStyle w:val="Heading2"/>
        <w:keepNext/>
        <w:spacing w:before="150" w:after="90"/>
      </w:pPr>
      <w:r>
        <w:rPr>
          <w:b/>
          <w:bCs/>
          <w:i w:val="false"/>
          <w:iCs w:val="false"/>
          <w:color w:val="1B2A4A"/>
          <w:sz w:val="28"/>
          <w:szCs w:val="28"/>
          <w:caps w:val="false"/>
          <w:rFonts w:ascii="Calibri" w:cs="Calibri" w:eastAsia="Calibri" w:hAnsi="Calibri"/>
        </w:rPr>
        <w:t xml:space="preserve">Security vs. Liberty</w:t>
      </w:r>
    </w:p>
    <w:p>
      <w:pPr>
        <w:spacing w:after="100"/>
      </w:pPr>
      <w:r>
        <w:rPr>
          <w:b w:val="false"/>
          <w:bCs w:val="false"/>
          <w:i w:val="false"/>
          <w:iCs w:val="false"/>
          <w:color w:val="1A1A1A"/>
          <w:sz w:val="21"/>
          <w:szCs w:val="21"/>
          <w:caps w:val="false"/>
          <w:rFonts w:ascii="Calibri" w:cs="Calibri" w:eastAsia="Calibri" w:hAnsi="Calibri"/>
        </w:rPr>
        <w:t xml:space="preserve">Cases from Schenck to Korematsu show the Court sometimes narrowing rights in the name of security — a tension every generation revisits (GC.23, GC.27).</w:t>
      </w:r>
    </w:p>
    <w:p>
      <w:pPr>
        <w:pStyle w:val="Heading2"/>
        <w:keepNext/>
        <w:spacing w:before="150" w:after="90"/>
      </w:pPr>
      <w:r>
        <w:rPr>
          <w:b/>
          <w:bCs/>
          <w:i w:val="false"/>
          <w:iCs w:val="false"/>
          <w:color w:val="1B2A4A"/>
          <w:sz w:val="28"/>
          <w:szCs w:val="28"/>
          <w:caps w:val="false"/>
          <w:rFonts w:ascii="Calibri" w:cs="Calibri" w:eastAsia="Calibri" w:hAnsi="Calibri"/>
        </w:rPr>
        <w:t xml:space="preserve">Unit Reflection</w:t>
      </w:r>
    </w:p>
    <w:p>
      <w:pPr>
        <w:spacing w:after="100"/>
      </w:pPr>
      <w:r>
        <w:rPr>
          <w:b w:val="false"/>
          <w:bCs w:val="false"/>
          <w:i w:val="false"/>
          <w:iCs w:val="false"/>
          <w:color w:val="1A1A1A"/>
          <w:sz w:val="22"/>
          <w:szCs w:val="22"/>
          <w:caps w:val="false"/>
          <w:rFonts w:ascii="Calibri" w:cs="Calibri" w:eastAsia="Calibri" w:hAnsi="Calibri"/>
        </w:rPr>
        <w:t xml:space="preserve">Return to the unit’s big question: How do the courts decide where your rights end and the government's power begins? Write a final claim with two pieces of evidence from different standards.</w:t>
      </w:r>
    </w:p>
    <w:tbl>
      <w:tblPr>
        <w:tblW w:type="dxa" w:w="9792"/>
        <w:tblBorders>
          <w:top w:val="single" w:color="auto" w:sz="4"/>
          <w:left w:val="single" w:color="auto" w:sz="4"/>
          <w:bottom w:val="single" w:color="auto" w:sz="4"/>
          <w:right w:val="single" w:color="auto" w:sz="4"/>
          <w:insideH w:val="single" w:color="auto" w:sz="4"/>
          <w:insideV w:val="single" w:color="auto" w:sz="4"/>
        </w:tblBorders>
      </w:tblPr>
      <w:tblGrid>
        <w:gridCol w:w="2639"/>
        <w:gridCol w:w="7153"/>
      </w:tblGrid>
      <w:tr>
        <w:trPr>
          <w:tblHeader/>
        </w:trPr>
        <w:tc>
          <w:tcPr>
            <w:tcW w:type="dxa" w:w="2639"/>
            <w:tcBorders>
              <w:top w:val="single" w:color="D9D5C8" w:sz="4"/>
              <w:left w:val="single" w:color="D9D5C8" w:sz="4"/>
              <w:bottom w:val="single" w:color="D9D5C8" w:sz="4"/>
              <w:right w:val="single" w:color="D9D5C8" w:sz="4"/>
            </w:tcBorders>
            <w:shd w:fill="F7F5EF" w:color="auto" w:val="clear"/>
            <w:tcMar>
              <w:top w:type="dxa" w:w="55"/>
              <w:left w:type="dxa" w:w="110"/>
              <w:bottom w:type="dxa" w:w="55"/>
              <w:right w:type="dxa" w:w="110"/>
            </w:tcMar>
          </w:tcPr>
          <w:p>
            <w:pPr>
              <w:spacing w:after="0"/>
            </w:pPr>
            <w:r>
              <w:rPr>
                <w:b/>
                <w:bCs/>
                <w:i w:val="false"/>
                <w:iCs w:val="false"/>
                <w:color w:val="1B2A4A"/>
                <w:sz w:val="18"/>
                <w:szCs w:val="18"/>
                <w:caps w:val="false"/>
                <w:rFonts w:ascii="Calibri" w:cs="Calibri" w:eastAsia="Calibri" w:hAnsi="Calibri"/>
              </w:rPr>
              <w:t xml:space="preserve">Part</w:t>
            </w:r>
          </w:p>
        </w:tc>
        <w:tc>
          <w:tcPr>
            <w:tcW w:type="dxa" w:w="7153"/>
            <w:tcBorders>
              <w:top w:val="single" w:color="D9D5C8" w:sz="4"/>
              <w:left w:val="single" w:color="D9D5C8" w:sz="4"/>
              <w:bottom w:val="single" w:color="D9D5C8" w:sz="4"/>
              <w:right w:val="single" w:color="D9D5C8" w:sz="4"/>
            </w:tcBorders>
            <w:shd w:fill="1B2A4A" w:color="auto" w:val="clear"/>
            <w:tcMar>
              <w:top w:type="dxa" w:w="55"/>
              <w:left w:type="dxa" w:w="110"/>
              <w:bottom w:type="dxa" w:w="55"/>
              <w:right w:type="dxa" w:w="110"/>
            </w:tcMar>
          </w:tcPr>
          <w:p>
            <w:pPr>
              <w:spacing w:after="0"/>
            </w:pPr>
            <w:r>
              <w:rPr>
                <w:b/>
                <w:bCs/>
                <w:i w:val="false"/>
                <w:iCs w:val="false"/>
                <w:color w:val="FFFFFF"/>
                <w:sz w:val="18"/>
                <w:szCs w:val="18"/>
                <w:caps w:val="false"/>
                <w:rFonts w:ascii="Calibri" w:cs="Calibri" w:eastAsia="Calibri" w:hAnsi="Calibri"/>
              </w:rPr>
              <w:t xml:space="preserve">Write here</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My claim</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1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Evidence 2 (standard: ___)</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r>
        <w:tc>
          <w:tcPr>
            <w:tcW w:type="dxa" w:w="2639"/>
            <w:tcBorders>
              <w:top w:val="single" w:color="D9D5C8" w:sz="4"/>
              <w:left w:val="single" w:color="D9D5C8" w:sz="4"/>
              <w:bottom w:val="single" w:color="D9D5C8" w:sz="4"/>
              <w:right w:val="single" w:color="D9D5C8" w:sz="4"/>
            </w:tcBorders>
            <w:tcMar>
              <w:top w:type="dxa" w:w="55"/>
              <w:left w:type="dxa" w:w="110"/>
              <w:bottom w:type="dxa" w:w="55"/>
              <w:right w:type="dxa" w:w="110"/>
            </w:tcMar>
          </w:tcPr>
          <w:p>
            <w:pPr>
              <w:spacing w:after="0"/>
            </w:pPr>
            <w:r>
              <w:rPr>
                <w:b/>
                <w:bCs/>
                <w:i w:val="false"/>
                <w:iCs w:val="false"/>
                <w:color w:val="1A1A1A"/>
                <w:sz w:val="20"/>
                <w:szCs w:val="20"/>
                <w:caps w:val="false"/>
                <w:rFonts w:ascii="Calibri" w:cs="Calibri" w:eastAsia="Calibri" w:hAnsi="Calibri"/>
              </w:rPr>
              <w:t xml:space="preserve">Why it matters today</w:t>
            </w:r>
          </w:p>
        </w:tc>
        <w:tc>
          <w:tcPr>
            <w:tcW w:type="dxa" w:w="7153"/>
            <w:tcBorders>
              <w:top w:val="single" w:color="D9D5C8" w:sz="4"/>
              <w:left w:val="single" w:color="D9D5C8" w:sz="4"/>
              <w:bottom w:val="single" w:color="D9D5C8" w:sz="4"/>
              <w:right w:val="single" w:color="D9D5C8" w:sz="4"/>
            </w:tcBorders>
            <w:tcMar>
              <w:top w:type="dxa" w:w="55"/>
              <w:left w:type="dxa" w:w="110"/>
              <w:bottom w:type="dxa" w:w="55"/>
              <w:right w:type="dxa" w:w="110"/>
            </w:tcMar>
          </w:tcPr>
          <w:p>
            <w:pPr>
              <w:widowControl w:val="false"/>
              <w:pBdr>
                <w:bottom w:val="single" w:color="8892A0" w:sz="8" w:space="1"/>
              </w:pBdr>
              <w:spacing w:before="28" w:after="28"/>
            </w:pPr>
            <w:r>
              <w:rPr>
                <w:sz w:val="16"/>
                <w:szCs w:val="16"/>
                <w:rFonts w:ascii="Calibri" w:cs="Calibri" w:eastAsia="Calibri" w:hAnsi="Calibri"/>
              </w:rPr>
              <w:t xml:space="preserve"> </w:t>
            </w:r>
          </w:p>
          <w:p>
            <w:pPr>
              <w:spacing w:before="0" w:after="0" w:line="50" w:lineRule="exact"/>
            </w:pPr>
            <w:r>
              <w:rPr>
                <w:sz w:val="2"/>
                <w:szCs w:val="2"/>
                <w:rFonts w:ascii="Calibri" w:cs="Calibri" w:eastAsia="Calibri" w:hAnsi="Calibri"/>
              </w:rPr>
              <w:t xml:space="preserve"> </w:t>
            </w:r>
          </w:p>
          <w:p>
            <w:pPr>
              <w:widowControl w:val="false"/>
              <w:pBdr>
                <w:bottom w:val="single" w:color="8892A0" w:sz="8" w:space="1"/>
              </w:pBdr>
              <w:spacing w:before="28" w:after="28"/>
            </w:pPr>
            <w:r>
              <w:rPr>
                <w:sz w:val="16"/>
                <w:szCs w:val="16"/>
                <w:rFonts w:ascii="Calibri" w:cs="Calibri" w:eastAsia="Calibri" w:hAnsi="Calibri"/>
              </w:rPr>
              <w:t xml:space="preserve"> </w:t>
            </w:r>
          </w:p>
        </w:tc>
      </w:tr>
    </w:tbl>
    <w:sectPr>
      <w:headerReference w:type="default" r:id="rId6"/>
      <w:footerReference w:type="default" r:id="rId7"/>
      <w:pgSz w:w="12240" w:h="15840" w:orient="portrait"/>
      <w:pgMar w:top="1152" w:right="1224" w:bottom="1152" w:left="1224" w:header="720" w:footer="72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jc w:val="center"/>
    </w:pPr>
    <w:r>
      <w:rPr>
        <w:b w:val="false"/>
        <w:bCs w:val="false"/>
        <w:i w:val="false"/>
        <w:iCs w:val="false"/>
        <w:color w:val="6B7280"/>
        <w:sz w:val="15"/>
        <w:szCs w:val="15"/>
        <w:caps w:val="false"/>
        <w:rFonts w:ascii="Calibri" w:cs="Calibri" w:eastAsia="Calibri" w:hAnsi="Calibri"/>
      </w:rPr>
      <w:t xml:space="preserve">Government Hack™ · Unit 6 (Course Standard)   © 2026 TroopToTeacher Technologies LLC   |   Page </w:t>
    </w:r>
    <w:r>
      <w:rPr>
        <w:b/>
        <w:bCs/>
        <w:color w:val="6B7280"/>
        <w:sz w:val="15"/>
        <w:szCs w:val="15"/>
        <w:rFonts w:ascii="Calibri" w:cs="Calibri" w:eastAsia="Calibri" w:hAnsi="Calibri"/>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b/>
        <w:bCs/>
        <w:i w:val="false"/>
        <w:iCs w:val="false"/>
        <w:color w:val="C89B3C"/>
        <w:sz w:val="16"/>
        <w:szCs w:val="16"/>
        <w:caps w:val="false"/>
        <w:rFonts w:ascii="Calibri" w:cs="Calibri" w:eastAsia="Calibri" w:hAnsi="Calibri"/>
      </w:rPr>
      <w:t xml:space="preserve">Government Hack™ · Unit 6 · Course Standard Edition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color w:val="1A1A1A"/>
        <w:sz w:val="22"/>
        <w:szCs w:val="22"/>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keepNext/>
      <w:spacing w:before="220" w:after="90"/>
      <w:outlineLvl w:val="0"/>
    </w:pPr>
    <w:rPr>
      <w:b/>
      <w:bCs/>
      <w:color w:val="1B2A4A"/>
      <w:sz w:val="36"/>
      <w:szCs w:val="36"/>
      <w:rFonts w:ascii="Calibri" w:cs="Calibri" w:eastAsia="Calibri" w:hAnsi="Calibri"/>
    </w:rPr>
  </w:style>
  <w:style w:type="paragraph" w:styleId="Heading2">
    <w:name w:val="Heading 2"/>
    <w:basedOn w:val="Normal"/>
    <w:next w:val="Normal"/>
    <w:qFormat/>
    <w:pPr>
      <w:keepNext/>
      <w:spacing w:before="150" w:after="80"/>
      <w:outlineLvl w:val="1"/>
    </w:pPr>
    <w:rPr>
      <w:b/>
      <w:bCs/>
      <w:color w:val="1B2A4A"/>
      <w:sz w:val="28"/>
      <w:szCs w:val="28"/>
      <w:rFonts w:ascii="Calibri" w:cs="Calibri" w:eastAsia="Calibri" w:hAnsi="Calibri"/>
    </w:rPr>
  </w:style>
  <w:style w:type="paragraph" w:styleId="Heading3">
    <w:name w:val="Heading 3"/>
    <w:basedOn w:val="Normal"/>
    <w:next w:val="Normal"/>
    <w:qFormat/>
    <w:pPr>
      <w:keepNext/>
      <w:spacing w:before="120" w:after="70"/>
      <w:outlineLvl w:val="2"/>
    </w:pPr>
    <w:rPr>
      <w:b/>
      <w:bCs/>
      <w:color w:val="B22234"/>
      <w:sz w:val="24"/>
      <w:szCs w:val="24"/>
      <w:rFonts w:ascii="Calibri" w:cs="Calibri" w:eastAsia="Calibri" w:hAnsi="Calibri"/>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image" Target="media/dokfhwpralzcrd97mgw6b.png"/><Relationship Id="rId9" Type="http://schemas.openxmlformats.org/officeDocument/2006/relationships/image" Target="media/lqz5myguy1_ynfoywt523.png"/><Relationship Id="rId10" Type="http://schemas.openxmlformats.org/officeDocument/2006/relationships/image" Target="media/7y16xq9cguocxwmm9jukt.png"/><Relationship Id="rId11" Type="http://schemas.openxmlformats.org/officeDocument/2006/relationships/image" Target="media/rxnnguk0lmnqwdjaznywq.png"/><Relationship Id="rId12" Type="http://schemas.openxmlformats.org/officeDocument/2006/relationships/image" Target="media/buu4uo8iuy6ybpcvsvxdq.png"/></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Government Hack — Unit 6 Course Standard Student Workbook</dc:title>
  <dc:creator>TroopToTeacher Technologies LLC</dc:creator>
  <cp:lastModifiedBy>Un-named</cp:lastModifiedBy>
  <cp:revision>1</cp:revision>
  <dcterms:created xsi:type="dcterms:W3CDTF">2026-07-31T03:03:38.988Z</dcterms:created>
  <dcterms:modified xsi:type="dcterms:W3CDTF">2026-07-31T03:03:38.989Z</dcterms:modified>
</cp:coreProperties>
</file>

<file path=docProps/custom.xml><?xml version="1.0" encoding="utf-8"?>
<Properties xmlns="http://schemas.openxmlformats.org/officeDocument/2006/custom-properties" xmlns:vt="http://schemas.openxmlformats.org/officeDocument/2006/docPropsVTypes"/>
</file>