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7</w:t>
      </w:r>
    </w:p>
    <w:p>
      <w:pPr>
        <w:spacing w:after="120"/>
        <w:jc w:val="center"/>
      </w:pPr>
      <w:r>
        <w:rPr>
          <w:b/>
          <w:bCs/>
          <w:i w:val="false"/>
          <w:iCs w:val="false"/>
          <w:color w:val="1B2A4A"/>
          <w:sz w:val="32"/>
          <w:szCs w:val="32"/>
          <w:caps w:val="false"/>
          <w:rFonts w:ascii="Calibri" w:cs="Calibri" w:eastAsia="Calibri" w:hAnsi="Calibri"/>
        </w:rPr>
        <w:t xml:space="preserve">Tennessee State and Local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GC.28 — Tennessee's Three Branches</w:t>
      </w:r>
    </w:p>
    <w:p>
      <w:pPr>
        <w:spacing w:after="60"/>
      </w:pPr>
      <w:r>
        <w:rPr>
          <w:b/>
          <w:bCs/>
          <w:i w:val="false"/>
          <w:iCs w:val="false"/>
          <w:color w:val="1A1A1A"/>
          <w:sz w:val="22"/>
          <w:szCs w:val="22"/>
          <w:caps w:val="false"/>
          <w:rFonts w:ascii="Calibri" w:cs="Calibri" w:eastAsia="Calibri" w:hAnsi="Calibri"/>
        </w:rPr>
        <w:t xml:space="preserve">TN Academic Standard GC.28: </w:t>
      </w:r>
      <w:r>
        <w:rPr>
          <w:b w:val="false"/>
          <w:bCs w:val="false"/>
          <w:i w:val="false"/>
          <w:iCs w:val="false"/>
          <w:color w:val="1A1A1A"/>
          <w:sz w:val="22"/>
          <w:szCs w:val="22"/>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Grand Divisions (grand dih-VIZH-unz); Citizen Legislature (SIT-ih-zen LEJ-is-lay-cher); The Tennessee Plan (TEN-eh-see plan).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Grand Divisions</w:t>
            </w:r>
            <w:r>
              <w:rPr>
                <w:b w:val="false"/>
                <w:bCs w:val="false"/>
                <w:i w:val="false"/>
                <w:iCs w:val="false"/>
                <w:color w:val="D9D5C8"/>
                <w:sz w:val="18"/>
                <w:szCs w:val="18"/>
                <w:caps w:val="false"/>
                <w:rFonts w:ascii="Calibri" w:cs="Calibri" w:eastAsia="Calibri" w:hAnsi="Calibri"/>
              </w:rPr>
              <w:t xml:space="preserve">      ·   ES: Grandes Divisiones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“Grand Divisions”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The Tennessee Plan</w:t>
            </w:r>
            <w:r>
              <w:rPr>
                <w:b w:val="false"/>
                <w:bCs w:val="false"/>
                <w:i w:val="false"/>
                <w:iCs w:val="false"/>
                <w:color w:val="D9D5C8"/>
                <w:sz w:val="18"/>
                <w:szCs w:val="18"/>
                <w:caps w:val="false"/>
                <w:rFonts w:ascii="Calibri" w:cs="Calibri" w:eastAsia="Calibri" w:hAnsi="Calibri"/>
              </w:rPr>
              <w:t xml:space="preserve">      ·   ES: el Plan de Tennessee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“The Tennessee Plan”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Grand Divisions</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The Tennessee Plan</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21"/>
                <w:szCs w:val="21"/>
                <w:caps w:val="false"/>
                <w:rFonts w:ascii="Calibri" w:cs="Calibri" w:eastAsia="Calibri" w:hAnsi="Calibri"/>
              </w:rPr>
              <w:t xml:space="preserve">A.   Criminal Court</w:t>
            </w:r>
          </w:p>
          <w:p>
            <w:pPr>
              <w:spacing w:after="30"/>
              <w:ind w:left="360"/>
            </w:pPr>
            <w:r>
              <w:rPr>
                <w:b w:val="false"/>
                <w:bCs w:val="false"/>
                <w:i w:val="false"/>
                <w:iCs w:val="false"/>
                <w:color w:val="1A1A1A"/>
                <w:sz w:val="21"/>
                <w:szCs w:val="21"/>
                <w:caps w:val="false"/>
                <w:rFonts w:ascii="Calibri" w:cs="Calibri" w:eastAsia="Calibri" w:hAnsi="Calibri"/>
              </w:rPr>
              <w:t xml:space="preserve">B.   Chancery Court</w:t>
            </w:r>
          </w:p>
          <w:p>
            <w:pPr>
              <w:spacing w:after="30"/>
              <w:ind w:left="360"/>
            </w:pPr>
            <w:r>
              <w:rPr>
                <w:b w:val="false"/>
                <w:bCs w:val="false"/>
                <w:i w:val="false"/>
                <w:iCs w:val="false"/>
                <w:color w:val="1A1A1A"/>
                <w:sz w:val="21"/>
                <w:szCs w:val="21"/>
                <w:caps w:val="false"/>
                <w:rFonts w:ascii="Calibri" w:cs="Calibri" w:eastAsia="Calibri" w:hAnsi="Calibri"/>
              </w:rPr>
              <w:t xml:space="preserve">C.   Circuit Court</w:t>
            </w:r>
          </w:p>
          <w:p>
            <w:pPr>
              <w:spacing w:after="30"/>
              <w:ind w:left="360"/>
            </w:pPr>
            <w:r>
              <w:rPr>
                <w:b w:val="false"/>
                <w:bCs w:val="false"/>
                <w:i w:val="false"/>
                <w:iCs w:val="false"/>
                <w:color w:val="1A1A1A"/>
                <w:sz w:val="21"/>
                <w:szCs w:val="21"/>
                <w:caps w:val="false"/>
                <w:rFonts w:ascii="Calibri" w:cs="Calibri" w:eastAsia="Calibri" w:hAnsi="Calibri"/>
              </w:rPr>
              <w:t xml:space="preserve">D.   The U.S. District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 What is the 'Tennessee Plan,' and how do appellate judges reach the bench under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u7-gc28-dok1-1 · pre-field-test]</w:t>
      </w:r>
    </w:p>
    <w:p>
      <w:pPr>
        <w:spacing w:after="100"/>
      </w:pPr>
      <w:r>
        <w:rPr>
          <w:b/>
          <w:bCs/>
          <w:i w:val="false"/>
          <w:iCs w:val="false"/>
          <w:color w:val="1A1A1A"/>
          <w:sz w:val="21"/>
          <w:szCs w:val="21"/>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20"/>
          <w:szCs w:val="20"/>
          <w:caps w:val="false"/>
          <w:rFonts w:ascii="Calibri" w:cs="Calibri" w:eastAsia="Calibri" w:hAnsi="Calibri"/>
        </w:rPr>
        <w:t xml:space="preserve">A. branches of government</w:t>
      </w:r>
    </w:p>
    <w:p>
      <w:pPr>
        <w:spacing w:after="20"/>
        <w:ind w:left="260"/>
      </w:pPr>
      <w:r>
        <w:rPr>
          <w:b w:val="false"/>
          <w:bCs w:val="false"/>
          <w:i w:val="false"/>
          <w:iCs w:val="false"/>
          <w:color w:val="1A1A1A"/>
          <w:sz w:val="20"/>
          <w:szCs w:val="20"/>
          <w:caps w:val="false"/>
          <w:rFonts w:ascii="Calibri" w:cs="Calibri" w:eastAsia="Calibri" w:hAnsi="Calibri"/>
        </w:rPr>
        <w:t xml:space="preserve">B. Grand Divisions</w:t>
      </w:r>
    </w:p>
    <w:p>
      <w:pPr>
        <w:spacing w:after="20"/>
        <w:ind w:left="260"/>
      </w:pPr>
      <w:r>
        <w:rPr>
          <w:b w:val="false"/>
          <w:bCs w:val="false"/>
          <w:i w:val="false"/>
          <w:iCs w:val="false"/>
          <w:color w:val="1A1A1A"/>
          <w:sz w:val="20"/>
          <w:szCs w:val="20"/>
          <w:caps w:val="false"/>
          <w:rFonts w:ascii="Calibri" w:cs="Calibri" w:eastAsia="Calibri" w:hAnsi="Calibri"/>
        </w:rPr>
        <w:t xml:space="preserve">C. Supreme Court justices</w:t>
      </w:r>
    </w:p>
    <w:p>
      <w:pPr>
        <w:spacing w:after="20"/>
        <w:ind w:left="260"/>
      </w:pPr>
      <w:r>
        <w:rPr>
          <w:b w:val="false"/>
          <w:bCs w:val="false"/>
          <w:i w:val="false"/>
          <w:iCs w:val="false"/>
          <w:color w:val="1A1A1A"/>
          <w:sz w:val="20"/>
          <w:szCs w:val="20"/>
          <w:caps w:val="false"/>
          <w:rFonts w:ascii="Calibri" w:cs="Calibri" w:eastAsia="Calibri" w:hAnsi="Calibri"/>
        </w:rPr>
        <w:t xml:space="preserve">D. largest cities</w:t>
      </w:r>
    </w:p>
    <w:p>
      <w:pPr>
        <w:spacing w:after="100"/>
      </w:pPr>
      <w:r>
        <w:rPr>
          <w:b/>
          <w:bCs/>
          <w:i w:val="false"/>
          <w:iCs w:val="false"/>
          <w:color w:val="6B7280"/>
          <w:sz w:val="18"/>
          <w:szCs w:val="18"/>
          <w:caps w:val="false"/>
          <w:rFonts w:ascii="Calibri" w:cs="Calibri" w:eastAsia="Calibri" w:hAnsi="Calibri"/>
        </w:rPr>
        <w:t xml:space="preserve">[DOK 2 · item u1-gc28-dok2-tc · pre-field-test]</w:t>
      </w:r>
    </w:p>
    <w:p>
      <w:pPr>
        <w:spacing w:after="100"/>
      </w:pPr>
      <w:r>
        <w:rPr>
          <w:b/>
          <w:bCs/>
          <w:i w:val="false"/>
          <w:iCs w:val="false"/>
          <w:color w:val="1A1A1A"/>
          <w:sz w:val="21"/>
          <w:szCs w:val="21"/>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20"/>
          <w:szCs w:val="20"/>
          <w:caps w:val="false"/>
          <w:rFonts w:ascii="Calibri" w:cs="Calibri" w:eastAsia="Calibri" w:hAnsi="Calibri"/>
        </w:rPr>
        <w:t xml:space="preserve">A. Criminal Court</w:t>
      </w:r>
    </w:p>
    <w:p>
      <w:pPr>
        <w:spacing w:after="20"/>
        <w:ind w:left="260"/>
      </w:pPr>
      <w:r>
        <w:rPr>
          <w:b w:val="false"/>
          <w:bCs w:val="false"/>
          <w:i w:val="false"/>
          <w:iCs w:val="false"/>
          <w:color w:val="1A1A1A"/>
          <w:sz w:val="20"/>
          <w:szCs w:val="20"/>
          <w:caps w:val="false"/>
          <w:rFonts w:ascii="Calibri" w:cs="Calibri" w:eastAsia="Calibri" w:hAnsi="Calibri"/>
        </w:rPr>
        <w:t xml:space="preserve">B. Chancery Court</w:t>
      </w:r>
    </w:p>
    <w:p>
      <w:pPr>
        <w:spacing w:after="20"/>
        <w:ind w:left="260"/>
      </w:pPr>
      <w:r>
        <w:rPr>
          <w:b w:val="false"/>
          <w:bCs w:val="false"/>
          <w:i w:val="false"/>
          <w:iCs w:val="false"/>
          <w:color w:val="1A1A1A"/>
          <w:sz w:val="20"/>
          <w:szCs w:val="20"/>
          <w:caps w:val="false"/>
          <w:rFonts w:ascii="Calibri" w:cs="Calibri" w:eastAsia="Calibri" w:hAnsi="Calibri"/>
        </w:rPr>
        <w:t xml:space="preserve">C. Circuit Court</w:t>
      </w:r>
    </w:p>
    <w:p>
      <w:pPr>
        <w:spacing w:after="20"/>
        <w:ind w:left="260"/>
      </w:pPr>
      <w:r>
        <w:rPr>
          <w:b w:val="false"/>
          <w:bCs w:val="false"/>
          <w:i w:val="false"/>
          <w:iCs w:val="false"/>
          <w:color w:val="1A1A1A"/>
          <w:sz w:val="20"/>
          <w:szCs w:val="20"/>
          <w:caps w:val="false"/>
          <w:rFonts w:ascii="Calibri" w:cs="Calibri" w:eastAsia="Calibri" w:hAnsi="Calibri"/>
        </w:rPr>
        <w:t xml:space="preserve">D. The U.S. District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GC.29 — Local Government in Tennessee</w:t>
      </w:r>
    </w:p>
    <w:p>
      <w:pPr>
        <w:spacing w:after="60"/>
      </w:pPr>
      <w:r>
        <w:rPr>
          <w:b/>
          <w:bCs/>
          <w:i w:val="false"/>
          <w:iCs w:val="false"/>
          <w:color w:val="1A1A1A"/>
          <w:sz w:val="22"/>
          <w:szCs w:val="22"/>
          <w:caps w:val="false"/>
          <w:rFonts w:ascii="Calibri" w:cs="Calibri" w:eastAsia="Calibri" w:hAnsi="Calibri"/>
        </w:rPr>
        <w:t xml:space="preserve">TN Academic Standard GC.29: </w:t>
      </w:r>
      <w:r>
        <w:rPr>
          <w:b w:val="false"/>
          <w:bCs w:val="false"/>
          <w:i w:val="false"/>
          <w:iCs w:val="false"/>
          <w:color w:val="1A1A1A"/>
          <w:sz w:val="22"/>
          <w:szCs w:val="22"/>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Unitary Government (YOO-nih-tair-ee); Dillon's Rule (DIL-unz rool); Metropolitan Government (met-ruh-POL-ih-tun).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Unitary Government</w:t>
            </w:r>
            <w:r>
              <w:rPr>
                <w:b w:val="false"/>
                <w:bCs w:val="false"/>
                <w:i w:val="false"/>
                <w:iCs w:val="false"/>
                <w:color w:val="D9D5C8"/>
                <w:sz w:val="18"/>
                <w:szCs w:val="18"/>
                <w:caps w:val="false"/>
                <w:rFonts w:ascii="Calibri" w:cs="Calibri" w:eastAsia="Calibri" w:hAnsi="Calibri"/>
              </w:rPr>
              <w:t xml:space="preserve">      ·   ES: gobierno unitario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“Unitary Government”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Metropolitan Government</w:t>
            </w:r>
            <w:r>
              <w:rPr>
                <w:b w:val="false"/>
                <w:bCs w:val="false"/>
                <w:i w:val="false"/>
                <w:iCs w:val="false"/>
                <w:color w:val="D9D5C8"/>
                <w:sz w:val="18"/>
                <w:szCs w:val="18"/>
                <w:caps w:val="false"/>
                <w:rFonts w:ascii="Calibri" w:cs="Calibri" w:eastAsia="Calibri" w:hAnsi="Calibri"/>
              </w:rPr>
              <w:t xml:space="preserve">      ·   ES: gobierno metropolitano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“Metropolitan Government”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Unitary Government</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Metropolitan Government</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21"/>
                <w:szCs w:val="21"/>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21"/>
                <w:szCs w:val="21"/>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21"/>
                <w:szCs w:val="21"/>
                <w:caps w:val="false"/>
                <w:rFonts w:ascii="Calibri" w:cs="Calibri" w:eastAsia="Calibri" w:hAnsi="Calibri"/>
              </w:rPr>
              <w:t xml:space="preserve">D.   They may set aside state law within their own borders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 Name the legal, fiscal, and operational ways your local governments depend on the state.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16"/>
          <w:szCs w:val="16"/>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u7-gc29-dok1-1 · pre-field-test]</w:t>
      </w:r>
    </w:p>
    <w:p>
      <w:pPr>
        <w:spacing w:after="100"/>
      </w:pPr>
      <w:r>
        <w:rPr>
          <w:b/>
          <w:bCs/>
          <w:i w:val="false"/>
          <w:iCs w:val="false"/>
          <w:color w:val="1A1A1A"/>
          <w:sz w:val="21"/>
          <w:szCs w:val="21"/>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20"/>
          <w:szCs w:val="20"/>
          <w:caps w:val="false"/>
          <w:rFonts w:ascii="Calibri" w:cs="Calibri" w:eastAsia="Calibri" w:hAnsi="Calibri"/>
        </w:rPr>
        <w:t xml:space="preserve">A. county commission</w:t>
      </w:r>
    </w:p>
    <w:p>
      <w:pPr>
        <w:spacing w:after="20"/>
        <w:ind w:left="260"/>
      </w:pPr>
      <w:r>
        <w:rPr>
          <w:b w:val="false"/>
          <w:bCs w:val="false"/>
          <w:i w:val="false"/>
          <w:iCs w:val="false"/>
          <w:color w:val="1A1A1A"/>
          <w:sz w:val="20"/>
          <w:szCs w:val="20"/>
          <w:caps w:val="false"/>
          <w:rFonts w:ascii="Calibri" w:cs="Calibri" w:eastAsia="Calibri" w:hAnsi="Calibri"/>
        </w:rPr>
        <w:t xml:space="preserve">B. unitary state</w:t>
      </w:r>
    </w:p>
    <w:p>
      <w:pPr>
        <w:spacing w:after="20"/>
        <w:ind w:left="260"/>
      </w:pPr>
      <w:r>
        <w:rPr>
          <w:b w:val="false"/>
          <w:bCs w:val="false"/>
          <w:i w:val="false"/>
          <w:iCs w:val="false"/>
          <w:color w:val="1A1A1A"/>
          <w:sz w:val="20"/>
          <w:szCs w:val="20"/>
          <w:caps w:val="false"/>
          <w:rFonts w:ascii="Calibri" w:cs="Calibri" w:eastAsia="Calibri" w:hAnsi="Calibri"/>
        </w:rPr>
        <w:t xml:space="preserve">C. metropolitan government</w:t>
      </w:r>
    </w:p>
    <w:p>
      <w:pPr>
        <w:spacing w:after="20"/>
        <w:ind w:left="260"/>
      </w:pPr>
      <w:r>
        <w:rPr>
          <w:b w:val="false"/>
          <w:bCs w:val="false"/>
          <w:i w:val="false"/>
          <w:iCs w:val="false"/>
          <w:color w:val="1A1A1A"/>
          <w:sz w:val="20"/>
          <w:szCs w:val="20"/>
          <w:caps w:val="false"/>
          <w:rFonts w:ascii="Calibri" w:cs="Calibri" w:eastAsia="Calibri" w:hAnsi="Calibri"/>
        </w:rPr>
        <w:t xml:space="preserve">D. Grand Division</w:t>
      </w:r>
    </w:p>
    <w:p>
      <w:pPr>
        <w:spacing w:after="100"/>
      </w:pPr>
      <w:r>
        <w:rPr>
          <w:b/>
          <w:bCs/>
          <w:i w:val="false"/>
          <w:iCs w:val="false"/>
          <w:color w:val="6B7280"/>
          <w:sz w:val="18"/>
          <w:szCs w:val="18"/>
          <w:caps w:val="false"/>
          <w:rFonts w:ascii="Calibri" w:cs="Calibri" w:eastAsia="Calibri" w:hAnsi="Calibri"/>
        </w:rPr>
        <w:t xml:space="preserve">[DOK 2 · item u1-gc29-dok2-tc · pre-field-test]</w:t>
      </w:r>
    </w:p>
    <w:p>
      <w:pPr>
        <w:spacing w:after="100"/>
      </w:pPr>
      <w:r>
        <w:rPr>
          <w:b/>
          <w:bCs/>
          <w:i w:val="false"/>
          <w:iCs w:val="false"/>
          <w:color w:val="1A1A1A"/>
          <w:sz w:val="21"/>
          <w:szCs w:val="21"/>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20"/>
          <w:szCs w:val="2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20"/>
          <w:szCs w:val="2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20"/>
          <w:szCs w:val="2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GC.30 — Identify Your Current Officials</w:t>
      </w:r>
    </w:p>
    <w:p>
      <w:pPr>
        <w:spacing w:after="60"/>
      </w:pPr>
      <w:r>
        <w:rPr>
          <w:b/>
          <w:bCs/>
          <w:i w:val="false"/>
          <w:iCs w:val="false"/>
          <w:color w:val="1A1A1A"/>
          <w:sz w:val="22"/>
          <w:szCs w:val="22"/>
          <w:caps w:val="false"/>
          <w:rFonts w:ascii="Calibri" w:cs="Calibri" w:eastAsia="Calibri" w:hAnsi="Calibri"/>
        </w:rPr>
        <w:t xml:space="preserve">TN Academic Standard GC.30: </w:t>
      </w:r>
      <w:r>
        <w:rPr>
          <w:b w:val="false"/>
          <w:bCs w:val="false"/>
          <w:i w:val="false"/>
          <w:iCs w:val="false"/>
          <w:color w:val="1A1A1A"/>
          <w:sz w:val="22"/>
          <w:szCs w:val="22"/>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Governor (GUV-ur-ner); General Assembly (JEN-ur-ul uh-SEM-blee); Constituent (kun-STIH-choo-ent).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General Assembly</w:t>
            </w:r>
            <w:r>
              <w:rPr>
                <w:b w:val="false"/>
                <w:bCs w:val="false"/>
                <w:i w:val="false"/>
                <w:iCs w:val="false"/>
                <w:color w:val="D9D5C8"/>
                <w:sz w:val="18"/>
                <w:szCs w:val="18"/>
                <w:caps w:val="false"/>
                <w:rFonts w:ascii="Calibri" w:cs="Calibri" w:eastAsia="Calibri" w:hAnsi="Calibri"/>
              </w:rPr>
              <w:t xml:space="preserve">      ·   ES: Asamblea General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“General Assembly”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General Assembly</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Constituent</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21"/>
                <w:szCs w:val="21"/>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21"/>
                <w:szCs w:val="21"/>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21"/>
                <w:szCs w:val="21"/>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21"/>
                <w:szCs w:val="21"/>
                <w:caps w:val="false"/>
                <w:rFonts w:ascii="Calibri" w:cs="Calibri" w:eastAsia="Calibri" w:hAnsi="Calibri"/>
              </w:rPr>
              <w:t xml:space="preserve">D.   a friend's best guess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u7-gc30-dok1-1 · pre-field-test]</w:t>
      </w:r>
    </w:p>
    <w:p>
      <w:pPr>
        <w:spacing w:after="100"/>
      </w:pPr>
      <w:r>
        <w:rPr>
          <w:b/>
          <w:bCs/>
          <w:i w:val="false"/>
          <w:iCs w:val="false"/>
          <w:color w:val="1A1A1A"/>
          <w:sz w:val="21"/>
          <w:szCs w:val="21"/>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20"/>
          <w:szCs w:val="2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20"/>
          <w:szCs w:val="2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20"/>
          <w:szCs w:val="20"/>
          <w:caps w:val="false"/>
          <w:rFonts w:ascii="Calibri" w:cs="Calibri" w:eastAsia="Calibri" w:hAnsi="Calibri"/>
        </w:rPr>
        <w:t xml:space="preserve">D. the Grand Divisions and the counties</w:t>
      </w:r>
    </w:p>
    <w:p>
      <w:pPr>
        <w:spacing w:after="100"/>
      </w:pPr>
      <w:r>
        <w:rPr>
          <w:b/>
          <w:bCs/>
          <w:i w:val="false"/>
          <w:iCs w:val="false"/>
          <w:color w:val="6B7280"/>
          <w:sz w:val="18"/>
          <w:szCs w:val="18"/>
          <w:caps w:val="false"/>
          <w:rFonts w:ascii="Calibri" w:cs="Calibri" w:eastAsia="Calibri" w:hAnsi="Calibri"/>
        </w:rPr>
        <w:t xml:space="preserve">[DOK 1 · item u1-gc30-dok1-tc · pre-field-test]</w:t>
      </w:r>
    </w:p>
    <w:p>
      <w:pPr>
        <w:spacing w:after="100"/>
      </w:pPr>
      <w:r>
        <w:rPr>
          <w:b/>
          <w:bCs/>
          <w:i w:val="false"/>
          <w:iCs w:val="false"/>
          <w:color w:val="1A1A1A"/>
          <w:sz w:val="21"/>
          <w:szCs w:val="21"/>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20"/>
          <w:szCs w:val="2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20"/>
          <w:szCs w:val="2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20"/>
          <w:szCs w:val="2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20"/>
          <w:szCs w:val="20"/>
          <w:caps w:val="false"/>
          <w:rFonts w:ascii="Calibri" w:cs="Calibri" w:eastAsia="Calibri" w:hAnsi="Calibri"/>
        </w:rPr>
        <w:t xml:space="preserve">D. a friend's best guess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GC.28: </w:t>
      </w:r>
      <w:r>
        <w:rPr>
          <w:b w:val="false"/>
          <w:bCs w:val="false"/>
          <w:i w:val="false"/>
          <w:iCs w:val="false"/>
          <w:color w:val="1A1A1A"/>
          <w:sz w:val="21"/>
          <w:szCs w:val="21"/>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21"/>
          <w:szCs w:val="21"/>
          <w:caps w:val="false"/>
          <w:rFonts w:ascii="Calibri" w:cs="Calibri" w:eastAsia="Calibri" w:hAnsi="Calibri"/>
        </w:rPr>
        <w:t xml:space="preserve">GC.29: </w:t>
      </w:r>
      <w:r>
        <w:rPr>
          <w:b w:val="false"/>
          <w:bCs w:val="false"/>
          <w:i w:val="false"/>
          <w:iCs w:val="false"/>
          <w:color w:val="1A1A1A"/>
          <w:sz w:val="21"/>
          <w:szCs w:val="21"/>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21"/>
          <w:szCs w:val="21"/>
          <w:caps w:val="false"/>
          <w:rFonts w:ascii="Calibri" w:cs="Calibri" w:eastAsia="Calibri" w:hAnsi="Calibri"/>
        </w:rPr>
        <w:t xml:space="preserve">GC.30: </w:t>
      </w:r>
      <w:r>
        <w:rPr>
          <w:b w:val="false"/>
          <w:bCs w:val="false"/>
          <w:i w:val="false"/>
          <w:iCs w:val="false"/>
          <w:color w:val="1A1A1A"/>
          <w:sz w:val="21"/>
          <w:szCs w:val="21"/>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GC.28 — Tennessee's Three Branches</w:t>
      </w:r>
    </w:p>
    <w:p>
      <w:pPr>
        <w:spacing w:after="100"/>
      </w:pPr>
      <w:r>
        <w:rPr>
          <w:b/>
          <w:bCs/>
          <w:i w:val="false"/>
          <w:iCs w:val="false"/>
          <w:color w:val="1A1A1A"/>
          <w:sz w:val="19"/>
          <w:szCs w:val="19"/>
          <w:caps w:val="false"/>
          <w:rFonts w:ascii="Calibri" w:cs="Calibri" w:eastAsia="Calibri" w:hAnsi="Calibri"/>
        </w:rPr>
        <w:t xml:space="preserve">Tennessee Constitution, Article 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https://law.justia.com/constitution/tennessee/article-ii/section-1/</w:t>
      </w:r>
    </w:p>
    <w:p>
      <w:pPr>
        <w:spacing w:after="100"/>
      </w:pPr>
      <w:r>
        <w:rPr>
          <w:b/>
          <w:bCs/>
          <w:i w:val="false"/>
          <w:iCs w:val="false"/>
          <w:color w:val="1A1A1A"/>
          <w:sz w:val="19"/>
          <w:szCs w:val="19"/>
          <w:caps w:val="false"/>
          <w:rFonts w:ascii="Calibri" w:cs="Calibri" w:eastAsia="Calibri" w:hAnsi="Calibri"/>
        </w:rPr>
        <w:t xml:space="preserve">Tennessee Constitution, Article VI,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https://law.justia.com/constitution/tennessee/article-vi/section-1/</w:t>
      </w:r>
    </w:p>
    <w:p>
      <w:pPr>
        <w:spacing w:after="100"/>
      </w:pPr>
      <w:r>
        <w:rPr>
          <w:b/>
          <w:bCs/>
          <w:i w:val="false"/>
          <w:iCs w:val="false"/>
          <w:color w:val="1B2A4A"/>
          <w:sz w:val="21"/>
          <w:szCs w:val="21"/>
          <w:caps w:val="false"/>
          <w:rFonts w:ascii="Calibri" w:cs="Calibri" w:eastAsia="Calibri" w:hAnsi="Calibri"/>
        </w:rPr>
        <w:t xml:space="preserve">GC.29 — Local Government in Tennessee</w:t>
      </w:r>
    </w:p>
    <w:p>
      <w:pPr>
        <w:spacing w:after="100"/>
      </w:pPr>
      <w:r>
        <w:rPr>
          <w:b/>
          <w:bCs/>
          <w:i w:val="false"/>
          <w:iCs w:val="false"/>
          <w:color w:val="1A1A1A"/>
          <w:sz w:val="19"/>
          <w:szCs w:val="19"/>
          <w:caps w:val="false"/>
          <w:rFonts w:ascii="Calibri" w:cs="Calibri" w:eastAsia="Calibri" w:hAnsi="Calibri"/>
        </w:rPr>
        <w:t xml:space="preserve">Tennessee Constitution, Article VII, Section 1. </w:t>
      </w:r>
      <w:r>
        <w:rPr>
          <w:b w:val="false"/>
          <w:bCs w:val="false"/>
          <w:i w:val="false"/>
          <w:iCs w:val="false"/>
          <w:color w:val="1A1A1A"/>
          <w:sz w:val="19"/>
          <w:szCs w:val="1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https://law.justia.com/constitution/tennessee/article-vii/section-1/</w:t>
      </w:r>
    </w:p>
    <w:p>
      <w:pPr>
        <w:spacing w:after="100"/>
      </w:pPr>
      <w:r>
        <w:rPr>
          <w:b/>
          <w:bCs/>
          <w:i w:val="false"/>
          <w:iCs w:val="false"/>
          <w:color w:val="1A1A1A"/>
          <w:sz w:val="19"/>
          <w:szCs w:val="19"/>
          <w:caps w:val="false"/>
          <w:rFonts w:ascii="Calibri" w:cs="Calibri" w:eastAsia="Calibri" w:hAnsi="Calibri"/>
        </w:rPr>
        <w:t xml:space="preserve">Tennessee Constitution, Article XI, Section 9. </w:t>
      </w:r>
      <w:r>
        <w:rPr>
          <w:b w:val="false"/>
          <w:bCs w:val="false"/>
          <w:i w:val="false"/>
          <w:iCs w:val="false"/>
          <w:color w:val="1A1A1A"/>
          <w:sz w:val="19"/>
          <w:szCs w:val="1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https://law.justia.com/constitution/tennessee/article-xi/section-9/</w:t>
      </w:r>
    </w:p>
    <w:p>
      <w:pPr>
        <w:spacing w:after="100"/>
      </w:pPr>
      <w:r>
        <w:rPr>
          <w:b/>
          <w:bCs/>
          <w:i w:val="false"/>
          <w:iCs w:val="false"/>
          <w:color w:val="1B2A4A"/>
          <w:sz w:val="21"/>
          <w:szCs w:val="21"/>
          <w:caps w:val="false"/>
          <w:rFonts w:ascii="Calibri" w:cs="Calibri" w:eastAsia="Calibri" w:hAnsi="Calibri"/>
        </w:rPr>
        <w:t xml:space="preserve">GC.30 — Identify Your Current Officials</w:t>
      </w:r>
    </w:p>
    <w:p>
      <w:pPr>
        <w:spacing w:after="100"/>
      </w:pPr>
      <w:r>
        <w:rPr>
          <w:b/>
          <w:bCs/>
          <w:i w:val="false"/>
          <w:iCs w:val="false"/>
          <w:color w:val="1A1A1A"/>
          <w:sz w:val="19"/>
          <w:szCs w:val="19"/>
          <w:caps w:val="false"/>
          <w:rFonts w:ascii="Calibri" w:cs="Calibri" w:eastAsia="Calibri" w:hAnsi="Calibri"/>
        </w:rPr>
        <w:t xml:space="preserve">Tennessee Constitution, Article III,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https://law.justia.com/constitution/tennessee/article-iii/section-1/</w:t>
      </w:r>
    </w:p>
    <w:p>
      <w:pPr>
        <w:spacing w:after="100"/>
      </w:pPr>
      <w:r>
        <w:rPr>
          <w:b/>
          <w:bCs/>
          <w:i w:val="false"/>
          <w:iCs w:val="false"/>
          <w:color w:val="1A1A1A"/>
          <w:sz w:val="19"/>
          <w:szCs w:val="19"/>
          <w:caps w:val="false"/>
          <w:rFonts w:ascii="Calibri" w:cs="Calibri" w:eastAsia="Calibri" w:hAnsi="Calibri"/>
        </w:rPr>
        <w:t xml:space="preserve">Tennessee Constitution, Article II, Section 3.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36"/>
          <w:szCs w:val="36"/>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22"/>
          <w:szCs w:val="22"/>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Separation of Powers, State Level</w:t>
      </w:r>
    </w:p>
    <w:p>
      <w:pPr>
        <w:spacing w:after="100"/>
      </w:pPr>
      <w:r>
        <w:rPr>
          <w:b w:val="false"/>
          <w:bCs w:val="false"/>
          <w:i w:val="false"/>
          <w:iCs w:val="false"/>
          <w:color w:val="1A1A1A"/>
          <w:sz w:val="21"/>
          <w:szCs w:val="21"/>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28"/>
          <w:szCs w:val="28"/>
          <w:caps w:val="false"/>
          <w:rFonts w:ascii="Calibri" w:cs="Calibri" w:eastAsia="Calibri" w:hAnsi="Calibri"/>
        </w:rPr>
        <w:t xml:space="preserve">Balancing the Grand Divisions</w:t>
      </w:r>
    </w:p>
    <w:p>
      <w:pPr>
        <w:spacing w:after="100"/>
      </w:pPr>
      <w:r>
        <w:rPr>
          <w:b w:val="false"/>
          <w:bCs w:val="false"/>
          <w:i w:val="false"/>
          <w:iCs w:val="false"/>
          <w:color w:val="1A1A1A"/>
          <w:sz w:val="21"/>
          <w:szCs w:val="21"/>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28"/>
          <w:szCs w:val="28"/>
          <w:caps w:val="false"/>
          <w:rFonts w:ascii="Calibri" w:cs="Calibri" w:eastAsia="Calibri" w:hAnsi="Calibri"/>
        </w:rPr>
        <w:t xml:space="preserve">A Unitary State, Layered Locally</w:t>
      </w:r>
    </w:p>
    <w:p>
      <w:pPr>
        <w:spacing w:after="100"/>
      </w:pPr>
      <w:r>
        <w:rPr>
          <w:b w:val="false"/>
          <w:bCs w:val="false"/>
          <w:i w:val="false"/>
          <w:iCs w:val="false"/>
          <w:color w:val="1A1A1A"/>
          <w:sz w:val="21"/>
          <w:szCs w:val="21"/>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28"/>
          <w:szCs w:val="28"/>
          <w:caps w:val="false"/>
          <w:rFonts w:ascii="Calibri" w:cs="Calibri" w:eastAsia="Calibri" w:hAnsi="Calibri"/>
        </w:rPr>
        <w:t xml:space="preserve">Representation and Civic Action</w:t>
      </w:r>
    </w:p>
    <w:p>
      <w:pPr>
        <w:spacing w:after="100"/>
      </w:pPr>
      <w:r>
        <w:rPr>
          <w:b w:val="false"/>
          <w:bCs w:val="false"/>
          <w:i w:val="false"/>
          <w:iCs w:val="false"/>
          <w:color w:val="1A1A1A"/>
          <w:sz w:val="21"/>
          <w:szCs w:val="21"/>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p5qjuk4odi-rphsc1wnyx.png"/><Relationship Id="rId9" Type="http://schemas.openxmlformats.org/officeDocument/2006/relationships/image" Target="media/28qcvafzqvuzdehypt4eg.png"/><Relationship Id="rId10" Type="http://schemas.openxmlformats.org/officeDocument/2006/relationships/image" Target="media/oiwtdbuqvyyua0b8muci8.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2026-07-31T03:03:42.991Z</dcterms:created>
  <dcterms:modified xsi:type="dcterms:W3CDTF">2026-07-31T03:03:42.991Z</dcterms:modified>
</cp:coreProperties>
</file>

<file path=docProps/custom.xml><?xml version="1.0" encoding="utf-8"?>
<Properties xmlns="http://schemas.openxmlformats.org/officeDocument/2006/custom-properties" xmlns:vt="http://schemas.openxmlformats.org/officeDocument/2006/docPropsVTypes"/>
</file>