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400" w:after="0"/>
      </w:pPr>
      <w:r>
        <w:rPr>
          <w:b/>
          <w:bCs/>
          <w:i w:val="false"/>
          <w:iCs w:val="false"/>
          <w:color w:val="C89B3C"/>
          <w:sz w:val="30"/>
          <w:szCs w:val="30"/>
          <w:rFonts w:ascii="Calibri" w:cs="Calibri" w:eastAsia="Calibri" w:hAnsi="Calibri"/>
        </w:rPr>
        <w:t xml:space="preserve">GOVERNMENT HACK™</w:t>
      </w:r>
    </w:p>
    <w:p>
      <w:pPr>
        <w:spacing w:after="0"/>
      </w:pPr>
      <w:r>
        <w:rPr>
          <w:b/>
          <w:bCs/>
          <w:i w:val="false"/>
          <w:iCs w:val="false"/>
          <w:color w:val="1B2A4A"/>
          <w:sz w:val="52"/>
          <w:szCs w:val="52"/>
          <w:rFonts w:ascii="Calibri" w:cs="Calibri" w:eastAsia="Calibri" w:hAnsi="Calibri"/>
        </w:rPr>
        <w:t xml:space="preserve">Unit Assessment Book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A1A1A"/>
          <w:sz w:val="26"/>
          <w:szCs w:val="26"/>
          <w:rFonts w:ascii="Calibri" w:cs="Calibri" w:eastAsia="Calibri" w:hAnsi="Calibri"/>
        </w:rPr>
        <w:t xml:space="preserve">Unit 6 — Civil Liberties  ·  Teacher Edition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HOW TO USE THIS BOOK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Three parts: (1) Formative Checkpoints — a short check per standard for progress monitoring (MTSS); (2) Unit Summative — two parallel forms (A and B) for pre/post or retakes; (3) Teacher Answer Key + Item Analysis + Reteach.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All items are pulled from the Government Hack question bank. Assessment items are classroom-formative · pre-field-test.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Administering these forms is what generates the response data to CALIBRATE the pre-calibrated items — the first cycle of use closes the loop.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Keys and reteach live in this teacher book only — reproduce the student sections (formative + Form A/B) without the key section.</w:t>
            </w:r>
          </w:p>
        </w:tc>
      </w:tr>
    </w:tbl>
    <w:p>
      <w:pPr>
        <w:pStyle w:val="Heading1"/>
        <w:keepNext/>
        <w:spacing w:before="200" w:after="90"/>
      </w:pPr>
      <w:r>
        <w:rPr>
          <w:b/>
          <w:bCs/>
          <w:i w:val="false"/>
          <w:iCs w:val="false"/>
          <w:color w:val="1B2A4A"/>
          <w:sz w:val="36"/>
          <w:szCs w:val="36"/>
          <w:rFonts w:ascii="Calibri" w:cs="Calibri" w:eastAsia="Calibri" w:hAnsi="Calibri"/>
        </w:rPr>
        <w:t xml:space="preserve">Contents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"1-1"</w:instrText>
            <w:fldChar w:fldCharType="separate"/>
          </w:r>
        </w:p>
        <w:p>
          <w:r>
            <w:fldChar w:fldCharType="end"/>
          </w:r>
        </w:p>
      </w:sdtContent>
    </w:sdt>
    <w:p>
      <w:pPr>
        <w:pStyle w:val="Heading1"/>
        <w:keepNext/>
        <w:pageBreakBefore/>
        <w:spacing w:before="200" w:after="90"/>
      </w:pPr>
      <w:r>
        <w:rPr>
          <w:b/>
          <w:bCs/>
          <w:i w:val="false"/>
          <w:iCs w:val="false"/>
          <w:color w:val="1B2A4A"/>
          <w:sz w:val="36"/>
          <w:szCs w:val="36"/>
          <w:rFonts w:ascii="Calibri" w:cs="Calibri" w:eastAsia="Calibri" w:hAnsi="Calibri"/>
        </w:rPr>
        <w:t xml:space="preserve">Part 1 — Formative Checkpoints (by standard)</w:t>
      </w:r>
    </w:p>
    <w:p>
      <w:pPr>
        <w:spacing w:after="8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A quick DOK-balanced check for each standard. Use for progress monitoring; reteach routing is in the Teacher Key.</w:t>
      </w:r>
    </w:p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GC.23 — The First Amendment in Court</w:t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1.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In Tinker v. Des Moines (1969), what did the Supreme Court decide about students' free-speech rights?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[GC.23 · DOK 2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Schools may ban any student expression that administrators dislike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Students keep their free-speech rights at school unless the expression substantially disrupts learning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The First Amendment does not apply to public-school students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Only teachers, not students, hold free-speech rights at school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GC.24 — The Second Amendment in Court</w:t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1.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In District of Columbia v. Heller (2008), what did the Supreme Court hold about the Second Amendment?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[GC.24 · DOK 2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That only the military may lawfully own weapons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That the amendment applies only to state militias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That states may ban all firearms within their borders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That the Second Amendment protects an individual right to keep and bear arms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GC.25 — Rights of the Accused (4th–8th Amendments)</w:t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1.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The exclusionary rule, established in Mapp v. Ohio (1961), provides that —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[GC.25 · DOK 2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evidence obtained through an illegal search cannot be used against a defendant in court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police may search a home without a warrant in most situations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a suspect must answer every question police ask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criminal trials may be conducted in secret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GC.26 — The 14th Amendment — Equal Protection &amp; Due Process</w:t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1.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Why is Brown v. Board of Education (1954) considered a turning point in interpreting the Equal Protection Clause?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[GC.26 · DOK 2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It upheld the 'separate but equal' doctrine from Plessy v. Ferguson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It removed the Equal Protection Clause from the 14th Amendment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It ruled that 'separate educational facilities are inherently unequal,' ending lawful school segregation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It applied only to private colleges, not public schools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GC.27 — Rights for the Underserved</w:t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1.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What does Title IX of the Education Amendments of 1972 prohibit?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[GC.27 · DOK 1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All tuition charged by private schools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Discrimination based on sex in education programs that receive federal funds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The teaching of American history in public schools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Voting by citizens under the age of 21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pStyle w:val="Heading1"/>
        <w:keepNext/>
        <w:pageBreakBefore/>
        <w:spacing w:before="200" w:after="90"/>
      </w:pPr>
      <w:r>
        <w:rPr>
          <w:b/>
          <w:bCs/>
          <w:i w:val="false"/>
          <w:iCs w:val="false"/>
          <w:color w:val="1B2A4A"/>
          <w:sz w:val="36"/>
          <w:szCs w:val="36"/>
          <w:rFonts w:ascii="Calibri" w:cs="Calibri" w:eastAsia="Calibri" w:hAnsi="Calibri"/>
        </w:rPr>
        <w:t xml:space="preserve">Part 2 — Unit Summative · Form A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DIRECTIONS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Choose the best answer for each question. Assessment items are classroom-formative · pre-field-test.</w:t>
            </w:r>
          </w:p>
        </w:tc>
      </w:tr>
    </w:tbl>
    <w:p>
      <w:pPr>
        <w:spacing w:after="8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Name: ______________________________     Class / Period: __________     Date: __________</w:t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1.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A public high school suspends a student for silently wearing an armband to protest a government policy, and the protest caused no disruption. Based on Tinker v. Des Moines, how should a court most likely rule?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[GC.23 · DOK 3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For the student, because non-disruptive symbolic speech is protected at school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For the school, because students give up their rights at the schoolhouse gate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For the school, because all forms of student protest are banned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For the student, because the First Amendment allows no limits on speech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2.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The principle that a protection in the Bill of Rights is applied to state and local governments through the 14th Amendment is called —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[GC.24 · DOK 2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judicial review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symbolic speech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incorporation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original jurisdiction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3.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Police arrest a suspect and begin questioning her without telling her she has the right to remain silent and to a lawyer. Based on Miranda v. Arizona, what is the most likely consequence?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[GC.25 · DOK 3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Her statements are automatically valid because she was under arrest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Her statements may be excluded from trial because she was not warned of her rights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She permanently loses her right to a jury trial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The arrest violates the Second Amendment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4.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How can the same Equal Protection Clause have supported segregation in Plessy v. Ferguson (1896) yet ended it in Brown v. Board of Education (1954)?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[GC.26 · DOK 3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Congress rewrote the clause between the two cases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Plessy did not actually involve the Equal Protection Clause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The two rulings interpreted different amendments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The Supreme Court reinterpreted the clause's meaning over time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5.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How did the Americans with Disabilities Act of 1990 expand rights for underserved groups?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[GC.27 · DOK 2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By prohibiting discrimination against people with disabilities and requiring reasonable accommodations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By banning sex discrimination in school athletics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By guaranteeing a lawyer to defendants who cannot afford one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By applying the Second Amendment to the states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pStyle w:val="Heading1"/>
        <w:keepNext/>
        <w:pageBreakBefore/>
        <w:spacing w:before="200" w:after="90"/>
      </w:pPr>
      <w:r>
        <w:rPr>
          <w:b/>
          <w:bCs/>
          <w:i w:val="false"/>
          <w:iCs w:val="false"/>
          <w:color w:val="1B2A4A"/>
          <w:sz w:val="36"/>
          <w:szCs w:val="36"/>
          <w:rFonts w:ascii="Calibri" w:cs="Calibri" w:eastAsia="Calibri" w:hAnsi="Calibri"/>
        </w:rPr>
        <w:t xml:space="preserve">Part 3 — Unit Summative · Form B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DIRECTIONS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Choose the best answer for each question. Assessment items are classroom-formative · pre-field-test.</w:t>
            </w:r>
          </w:p>
        </w:tc>
      </w:tr>
    </w:tbl>
    <w:p>
      <w:pPr>
        <w:spacing w:after="8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Name: ______________________________     Class / Period: __________     Date: __________</w:t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1.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Engel v. Vitale (1962) and Lemon v. Kurtzman (1971) both interpreted which part of the First Amendment?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[GC.23 · DOK 2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the freedom of the press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the right to peaceably assemble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the right to petition the government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the Establishment Clause separating government and religion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2.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The Supreme Court has said the Second Amendment right is 'not unlimited.' What does that mean?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[GC.24 · DOK 2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Governments may still regulate who may carry firearms, and where and how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Only the military may lawfully own weapons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States may ban all firearms outright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The amendment does not protect any individual at all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3.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The requirement that the state provide a lawyer to a defendant who cannot afford one comes from which Supreme Court case?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[GC.25 · DOK 1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Mapp v. Ohio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Gideon v. Wainwright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Miranda v. Arizona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Brown v. Board of Education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4.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The 14th Amendment's guarantee that no state may 'deny to any person… the equal protection of the laws' was the constitutional basis for which ruling?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[GC.26 · DOK 2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Schenck v. United States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District of Columbia v. Heller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Brown v. Board of Education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Miranda v. Arizona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5.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Why do many scholars today point to Korematsu v. United States (1944) as a cautionary example rather than a model to follow?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[GC.27 · DOK 3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It created Title IX and later proved unnecessary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It expanded voting rights too quickly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It ended school segregation before the country was ready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It upheld the wartime incarceration of Japanese Americans, showing how liberty can be sacrificed to claimed security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pStyle w:val="Heading1"/>
        <w:keepNext/>
        <w:pageBreakBefore/>
        <w:spacing w:before="200" w:after="90"/>
      </w:pPr>
      <w:r>
        <w:rPr>
          <w:b/>
          <w:bCs/>
          <w:i w:val="false"/>
          <w:iCs w:val="false"/>
          <w:color w:val="1B2A4A"/>
          <w:sz w:val="36"/>
          <w:szCs w:val="36"/>
          <w:rFonts w:ascii="Calibri" w:cs="Calibri" w:eastAsia="Calibri" w:hAnsi="Calibri"/>
        </w:rPr>
        <w:t xml:space="preserve">Part 4 — Teacher Answer Key + Item Analysis + Reteach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READING THE ANALYSIS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Each item shows its standard, DOK, correct key, and TCAP reporting category, plus a reteach move. Distractor-based routing: a wrong choice signals which idea to reteach — pair with the workbook Cornell notes and Guided Support. Assessment items are classroom-formative · pre-field-test.</w:t>
            </w:r>
          </w:p>
        </w:tc>
      </w:tr>
    </w:tbl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Form A — key &amp; reteach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100"/>
        <w:gridCol w:w="900"/>
        <w:gridCol w:w="900"/>
        <w:gridCol w:w="1900"/>
        <w:gridCol w:w="3948"/>
      </w:tblGrid>
      <w:tr>
        <w:trPr>
          <w:tblHeader/>
        </w:trP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11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Standard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DOK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Key</w:t>
            </w:r>
          </w:p>
        </w:tc>
        <w:tc>
          <w:tcPr>
            <w:tcW w:type="dxa" w:w="1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Reporting cat.</w:t>
            </w:r>
          </w:p>
        </w:tc>
        <w:tc>
          <w:tcPr>
            <w:tcW w:type="dxa" w:w="39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What’s Next if missed (reteach)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1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GC.23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1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RC-GOV6: Civil Liberties</w:t>
            </w:r>
          </w:p>
        </w:tc>
        <w:tc>
          <w:tcPr>
            <w:tcW w:type="dxa" w:w="39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The First Amendment in Court — Cornell cues + Guided Support; re-check with the Exit Ticket.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11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GC.24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1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RC-GOV6: Civil Liberties</w:t>
            </w:r>
          </w:p>
        </w:tc>
        <w:tc>
          <w:tcPr>
            <w:tcW w:type="dxa" w:w="39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The Second Amendment in Court — Cornell cues + Guided Support; re-check with the Exit Ticket.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11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GC.25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1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RC-GOV6: Civil Liberties</w:t>
            </w:r>
          </w:p>
        </w:tc>
        <w:tc>
          <w:tcPr>
            <w:tcW w:type="dxa" w:w="39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Rights of the Accused (4th–8th Amendments) — Cornell cues + Guided Support; re-check with the Exit Ticket.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1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GC.26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1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RC-GOV6: Civil Liberties</w:t>
            </w:r>
          </w:p>
        </w:tc>
        <w:tc>
          <w:tcPr>
            <w:tcW w:type="dxa" w:w="39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The 14th Amendment — Equal Protection &amp; Due Process — Cornell cues + Guided Support; re-check with the Exit Ticket.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11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GC.27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1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RC-GOV6: Civil Liberties</w:t>
            </w:r>
          </w:p>
        </w:tc>
        <w:tc>
          <w:tcPr>
            <w:tcW w:type="dxa" w:w="39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Rights for the Underserved — Cornell cues + Guided Support; re-check with the Exit Ticket.</w:t>
            </w:r>
          </w:p>
        </w:tc>
      </w:tr>
    </w:tbl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Form B — key &amp; reteach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100"/>
        <w:gridCol w:w="900"/>
        <w:gridCol w:w="900"/>
        <w:gridCol w:w="1900"/>
        <w:gridCol w:w="3948"/>
      </w:tblGrid>
      <w:tr>
        <w:trPr>
          <w:tblHeader/>
        </w:trP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11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Standard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DOK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Key</w:t>
            </w:r>
          </w:p>
        </w:tc>
        <w:tc>
          <w:tcPr>
            <w:tcW w:type="dxa" w:w="1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Reporting cat.</w:t>
            </w:r>
          </w:p>
        </w:tc>
        <w:tc>
          <w:tcPr>
            <w:tcW w:type="dxa" w:w="39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What’s Next if missed (reteach)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1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GC.23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1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RC-GOV6: Civil Liberties</w:t>
            </w:r>
          </w:p>
        </w:tc>
        <w:tc>
          <w:tcPr>
            <w:tcW w:type="dxa" w:w="39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The First Amendment in Court — Cornell cues + Guided Support; re-check with the Exit Ticket.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11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GC.24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1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RC-GOV6: Civil Liberties</w:t>
            </w:r>
          </w:p>
        </w:tc>
        <w:tc>
          <w:tcPr>
            <w:tcW w:type="dxa" w:w="39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The Second Amendment in Court — Cornell cues + Guided Support; re-check with the Exit Ticket.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11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GC.25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1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RC-GOV6: Civil Liberties</w:t>
            </w:r>
          </w:p>
        </w:tc>
        <w:tc>
          <w:tcPr>
            <w:tcW w:type="dxa" w:w="39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Rights of the Accused (4th–8th Amendments) — Cornell cues + Guided Support; re-check with the Exit Ticket.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1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GC.26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1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RC-GOV6: Civil Liberties</w:t>
            </w:r>
          </w:p>
        </w:tc>
        <w:tc>
          <w:tcPr>
            <w:tcW w:type="dxa" w:w="39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The 14th Amendment — Equal Protection &amp; Due Process — Cornell cues + Guided Support; re-check with the Exit Ticket.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11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GC.27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1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RC-GOV6: Civil Liberties</w:t>
            </w:r>
          </w:p>
        </w:tc>
        <w:tc>
          <w:tcPr>
            <w:tcW w:type="dxa" w:w="39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Rights for the Underserved — Cornell cues + Guided Support; re-check with the Exit Ticket.</w:t>
            </w:r>
          </w:p>
        </w:tc>
      </w:tr>
    </w:tbl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Formative Checkpoints — key &amp; reteach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100"/>
        <w:gridCol w:w="900"/>
        <w:gridCol w:w="900"/>
        <w:gridCol w:w="1900"/>
        <w:gridCol w:w="3948"/>
      </w:tblGrid>
      <w:tr>
        <w:trPr>
          <w:tblHeader/>
        </w:trP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11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Standard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DOK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Key</w:t>
            </w:r>
          </w:p>
        </w:tc>
        <w:tc>
          <w:tcPr>
            <w:tcW w:type="dxa" w:w="1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Reporting cat.</w:t>
            </w:r>
          </w:p>
        </w:tc>
        <w:tc>
          <w:tcPr>
            <w:tcW w:type="dxa" w:w="39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What’s Next if missed (reteach)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1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GC.23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1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RC-GOV6: Civil Liberties</w:t>
            </w:r>
          </w:p>
        </w:tc>
        <w:tc>
          <w:tcPr>
            <w:tcW w:type="dxa" w:w="39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The First Amendment in Court — Cornell cues + Guided Support; re-check with the Exit Ticket.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11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GC.24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1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RC-GOV6: Civil Liberties</w:t>
            </w:r>
          </w:p>
        </w:tc>
        <w:tc>
          <w:tcPr>
            <w:tcW w:type="dxa" w:w="39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The Second Amendment in Court — Cornell cues + Guided Support; re-check with the Exit Ticket.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11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GC.25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1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RC-GOV6: Civil Liberties</w:t>
            </w:r>
          </w:p>
        </w:tc>
        <w:tc>
          <w:tcPr>
            <w:tcW w:type="dxa" w:w="39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Rights of the Accused (4th–8th Amendments) — Cornell cues + Guided Support; re-check with the Exit Ticket.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1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GC.26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1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RC-GOV6: Civil Liberties</w:t>
            </w:r>
          </w:p>
        </w:tc>
        <w:tc>
          <w:tcPr>
            <w:tcW w:type="dxa" w:w="39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The 14th Amendment — Equal Protection &amp; Due Process — Cornell cues + Guided Support; re-check with the Exit Ticket.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11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GC.27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1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RC-GOV6: Civil Liberties</w:t>
            </w:r>
          </w:p>
        </w:tc>
        <w:tc>
          <w:tcPr>
            <w:tcW w:type="dxa" w:w="39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Rights for the Underserved — Cornell cues + Guided Support; re-check with the Exit Ticket.</w:t>
            </w:r>
          </w:p>
        </w:tc>
      </w:tr>
    </w:tbl>
    <w:p>
      <w:pPr>
        <w:pStyle w:val="Heading1"/>
        <w:keepNext/>
        <w:pageBreakBefore/>
        <w:spacing w:before="200" w:after="90"/>
      </w:pPr>
      <w:r>
        <w:rPr>
          <w:b/>
          <w:bCs/>
          <w:i w:val="false"/>
          <w:iCs w:val="false"/>
          <w:color w:val="1B2A4A"/>
          <w:sz w:val="36"/>
          <w:szCs w:val="36"/>
          <w:rFonts w:ascii="Calibri" w:cs="Calibri" w:eastAsia="Calibri" w:hAnsi="Calibri"/>
        </w:rPr>
        <w:t xml:space="preserve">Part 5 — Psychometric Blueprint (Teacher)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ABOUT THESE NUMBERS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Every item carries a cognitive-rigor classification (Webb’s DOK × Bloom’s, located on the Hess Cognitive Rigor Matrix) and a pre-calibration IRT 3PL estimate: a = discrimination, b = difficulty, c = pseudo-guessing.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These IRT parameters are DESIGN-TIME ESTIMATES, not empirical calibrations. IRT 3PL parameters are pre-field-test design-time estimates, to be calibrated on field-test data. Assessment items are classroom-formative · pre-field-test.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Distractor codes: PK prior-knowledge · MC misconception · PE partial evidence · NE nearby error · CA causal attribution · AN anachronism · OG overgeneralization.</w:t>
            </w:r>
          </w:p>
        </w:tc>
      </w:tr>
    </w:tbl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BANK DISTRIBUTION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DOK: 1: 2   ·   2: 9   ·   3: 4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Bloom’s: Understand: 9   ·   Remember: 2   ·   Apply: 2   ·   Analyze: 1   ·   Evaluate: 1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Mean discrimination a ≈ 1.353   ·   Mean difficulty b ≈ 0.16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Field-test-ready items: 15 of 15</w:t>
            </w:r>
          </w:p>
        </w:tc>
      </w:tr>
    </w:tbl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Form A — item psychometrics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980"/>
        <w:gridCol w:w="700"/>
        <w:gridCol w:w="1560"/>
        <w:gridCol w:w="600"/>
        <w:gridCol w:w="600"/>
        <w:gridCol w:w="600"/>
        <w:gridCol w:w="680"/>
        <w:gridCol w:w="720"/>
        <w:gridCol w:w="2568"/>
      </w:tblGrid>
      <w:tr>
        <w:trPr>
          <w:tblHeader/>
        </w:trPr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9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Std</w:t>
            </w:r>
          </w:p>
        </w:tc>
        <w:tc>
          <w:tcPr>
            <w:tcW w:type="dxa" w:w="7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DOK</w:t>
            </w:r>
          </w:p>
        </w:tc>
        <w:tc>
          <w:tcPr>
            <w:tcW w:type="dxa" w:w="156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Bloom’s (Hess cell)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6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C3</w:t>
            </w:r>
          </w:p>
        </w:tc>
        <w:tc>
          <w:tcPr>
            <w:tcW w:type="dxa" w:w="7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FT?</w:t>
            </w:r>
          </w:p>
        </w:tc>
        <w:tc>
          <w:tcPr>
            <w:tcW w:type="dxa" w:w="256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Distractor codes</w:t>
            </w:r>
          </w:p>
        </w:tc>
      </w:tr>
      <w:tr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9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GC.23</w:t>
            </w:r>
          </w:p>
        </w:tc>
        <w:tc>
          <w:tcPr>
            <w:tcW w:type="dxa" w:w="7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156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Apply × DOK 3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1.6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0.7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0.2</w:t>
            </w:r>
          </w:p>
        </w:tc>
        <w:tc>
          <w:tcPr>
            <w:tcW w:type="dxa" w:w="6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D2</w:t>
            </w:r>
          </w:p>
        </w:tc>
        <w:tc>
          <w:tcPr>
            <w:tcW w:type="dxa" w:w="7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Y</w:t>
            </w:r>
          </w:p>
        </w:tc>
        <w:tc>
          <w:tcPr>
            <w:tcW w:type="dxa" w:w="256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B:MC C:OG D:PE</w:t>
            </w:r>
          </w:p>
        </w:tc>
      </w:tr>
      <w:tr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9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GC.24</w:t>
            </w:r>
          </w:p>
        </w:tc>
        <w:tc>
          <w:tcPr>
            <w:tcW w:type="dxa" w:w="7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156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Understand × DOK 2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1.3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0.3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0.2</w:t>
            </w:r>
          </w:p>
        </w:tc>
        <w:tc>
          <w:tcPr>
            <w:tcW w:type="dxa" w:w="6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D2</w:t>
            </w:r>
          </w:p>
        </w:tc>
        <w:tc>
          <w:tcPr>
            <w:tcW w:type="dxa" w:w="7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Y</w:t>
            </w:r>
          </w:p>
        </w:tc>
        <w:tc>
          <w:tcPr>
            <w:tcW w:type="dxa" w:w="256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A:PK B:PK D:PK</w:t>
            </w:r>
          </w:p>
        </w:tc>
      </w:tr>
      <w:tr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9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GC.25</w:t>
            </w:r>
          </w:p>
        </w:tc>
        <w:tc>
          <w:tcPr>
            <w:tcW w:type="dxa" w:w="7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156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Apply × DOK 3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1.6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0.8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0.2</w:t>
            </w:r>
          </w:p>
        </w:tc>
        <w:tc>
          <w:tcPr>
            <w:tcW w:type="dxa" w:w="6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D2</w:t>
            </w:r>
          </w:p>
        </w:tc>
        <w:tc>
          <w:tcPr>
            <w:tcW w:type="dxa" w:w="7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Y</w:t>
            </w:r>
          </w:p>
        </w:tc>
        <w:tc>
          <w:tcPr>
            <w:tcW w:type="dxa" w:w="256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A:MC C:OG D:PK</w:t>
            </w:r>
          </w:p>
        </w:tc>
      </w:tr>
      <w:tr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9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GC.26</w:t>
            </w:r>
          </w:p>
        </w:tc>
        <w:tc>
          <w:tcPr>
            <w:tcW w:type="dxa" w:w="7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156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Analyze × DOK 3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1.7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0.2</w:t>
            </w:r>
          </w:p>
        </w:tc>
        <w:tc>
          <w:tcPr>
            <w:tcW w:type="dxa" w:w="6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D2</w:t>
            </w:r>
          </w:p>
        </w:tc>
        <w:tc>
          <w:tcPr>
            <w:tcW w:type="dxa" w:w="7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Y</w:t>
            </w:r>
          </w:p>
        </w:tc>
        <w:tc>
          <w:tcPr>
            <w:tcW w:type="dxa" w:w="256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A:MC B:NE C:MC</w:t>
            </w:r>
          </w:p>
        </w:tc>
      </w:tr>
      <w:tr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9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GC.27</w:t>
            </w:r>
          </w:p>
        </w:tc>
        <w:tc>
          <w:tcPr>
            <w:tcW w:type="dxa" w:w="7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156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Understand × DOK 2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1.2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0.1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0.2</w:t>
            </w:r>
          </w:p>
        </w:tc>
        <w:tc>
          <w:tcPr>
            <w:tcW w:type="dxa" w:w="6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D2</w:t>
            </w:r>
          </w:p>
        </w:tc>
        <w:tc>
          <w:tcPr>
            <w:tcW w:type="dxa" w:w="7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Y</w:t>
            </w:r>
          </w:p>
        </w:tc>
        <w:tc>
          <w:tcPr>
            <w:tcW w:type="dxa" w:w="256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B:PK C:PK D:PK</w:t>
            </w:r>
          </w:p>
        </w:tc>
      </w:tr>
    </w:tbl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Form B — item psychometrics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980"/>
        <w:gridCol w:w="700"/>
        <w:gridCol w:w="1560"/>
        <w:gridCol w:w="600"/>
        <w:gridCol w:w="600"/>
        <w:gridCol w:w="600"/>
        <w:gridCol w:w="680"/>
        <w:gridCol w:w="720"/>
        <w:gridCol w:w="2568"/>
      </w:tblGrid>
      <w:tr>
        <w:trPr>
          <w:tblHeader/>
        </w:trPr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9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Std</w:t>
            </w:r>
          </w:p>
        </w:tc>
        <w:tc>
          <w:tcPr>
            <w:tcW w:type="dxa" w:w="7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DOK</w:t>
            </w:r>
          </w:p>
        </w:tc>
        <w:tc>
          <w:tcPr>
            <w:tcW w:type="dxa" w:w="156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Bloom’s (Hess cell)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6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C3</w:t>
            </w:r>
          </w:p>
        </w:tc>
        <w:tc>
          <w:tcPr>
            <w:tcW w:type="dxa" w:w="7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FT?</w:t>
            </w:r>
          </w:p>
        </w:tc>
        <w:tc>
          <w:tcPr>
            <w:tcW w:type="dxa" w:w="256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Distractor codes</w:t>
            </w:r>
          </w:p>
        </w:tc>
      </w:tr>
      <w:tr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9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GC.23</w:t>
            </w:r>
          </w:p>
        </w:tc>
        <w:tc>
          <w:tcPr>
            <w:tcW w:type="dxa" w:w="7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156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Understand × DOK 2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1.3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0.2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0.2</w:t>
            </w:r>
          </w:p>
        </w:tc>
        <w:tc>
          <w:tcPr>
            <w:tcW w:type="dxa" w:w="6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D2</w:t>
            </w:r>
          </w:p>
        </w:tc>
        <w:tc>
          <w:tcPr>
            <w:tcW w:type="dxa" w:w="7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Y</w:t>
            </w:r>
          </w:p>
        </w:tc>
        <w:tc>
          <w:tcPr>
            <w:tcW w:type="dxa" w:w="256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A:PK B:PK C:PK</w:t>
            </w:r>
          </w:p>
        </w:tc>
      </w:tr>
      <w:tr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9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GC.24</w:t>
            </w:r>
          </w:p>
        </w:tc>
        <w:tc>
          <w:tcPr>
            <w:tcW w:type="dxa" w:w="7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156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Understand × DOK 2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1.4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0.4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0.2</w:t>
            </w:r>
          </w:p>
        </w:tc>
        <w:tc>
          <w:tcPr>
            <w:tcW w:type="dxa" w:w="6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D2</w:t>
            </w:r>
          </w:p>
        </w:tc>
        <w:tc>
          <w:tcPr>
            <w:tcW w:type="dxa" w:w="7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Y</w:t>
            </w:r>
          </w:p>
        </w:tc>
        <w:tc>
          <w:tcPr>
            <w:tcW w:type="dxa" w:w="256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B:MC C:OG D:MC</w:t>
            </w:r>
          </w:p>
        </w:tc>
      </w:tr>
      <w:tr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9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GC.25</w:t>
            </w:r>
          </w:p>
        </w:tc>
        <w:tc>
          <w:tcPr>
            <w:tcW w:type="dxa" w:w="7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56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Remember × DOK 1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-1.2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0.2</w:t>
            </w:r>
          </w:p>
        </w:tc>
        <w:tc>
          <w:tcPr>
            <w:tcW w:type="dxa" w:w="6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D2</w:t>
            </w:r>
          </w:p>
        </w:tc>
        <w:tc>
          <w:tcPr>
            <w:tcW w:type="dxa" w:w="7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Y</w:t>
            </w:r>
          </w:p>
        </w:tc>
        <w:tc>
          <w:tcPr>
            <w:tcW w:type="dxa" w:w="256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A:NE C:NE D:PK</w:t>
            </w:r>
          </w:p>
        </w:tc>
      </w:tr>
      <w:tr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9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GC.26</w:t>
            </w:r>
          </w:p>
        </w:tc>
        <w:tc>
          <w:tcPr>
            <w:tcW w:type="dxa" w:w="7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156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Understand × DOK 2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1.3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0.2</w:t>
            </w:r>
          </w:p>
        </w:tc>
        <w:tc>
          <w:tcPr>
            <w:tcW w:type="dxa" w:w="6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D2</w:t>
            </w:r>
          </w:p>
        </w:tc>
        <w:tc>
          <w:tcPr>
            <w:tcW w:type="dxa" w:w="7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Y</w:t>
            </w:r>
          </w:p>
        </w:tc>
        <w:tc>
          <w:tcPr>
            <w:tcW w:type="dxa" w:w="256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A:PK B:PK D:PK</w:t>
            </w:r>
          </w:p>
        </w:tc>
      </w:tr>
      <w:tr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9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GC.27</w:t>
            </w:r>
          </w:p>
        </w:tc>
        <w:tc>
          <w:tcPr>
            <w:tcW w:type="dxa" w:w="7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156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Evaluate × DOK 3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1.7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1.1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0.2</w:t>
            </w:r>
          </w:p>
        </w:tc>
        <w:tc>
          <w:tcPr>
            <w:tcW w:type="dxa" w:w="6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D3</w:t>
            </w:r>
          </w:p>
        </w:tc>
        <w:tc>
          <w:tcPr>
            <w:tcW w:type="dxa" w:w="7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Y</w:t>
            </w:r>
          </w:p>
        </w:tc>
        <w:tc>
          <w:tcPr>
            <w:tcW w:type="dxa" w:w="256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A:PK B:MC C:PK</w:t>
            </w:r>
          </w:p>
        </w:tc>
      </w:tr>
    </w:tbl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Formative — item psychometrics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980"/>
        <w:gridCol w:w="700"/>
        <w:gridCol w:w="1560"/>
        <w:gridCol w:w="600"/>
        <w:gridCol w:w="600"/>
        <w:gridCol w:w="600"/>
        <w:gridCol w:w="680"/>
        <w:gridCol w:w="720"/>
        <w:gridCol w:w="2568"/>
      </w:tblGrid>
      <w:tr>
        <w:trPr>
          <w:tblHeader/>
        </w:trPr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9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Std</w:t>
            </w:r>
          </w:p>
        </w:tc>
        <w:tc>
          <w:tcPr>
            <w:tcW w:type="dxa" w:w="7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DOK</w:t>
            </w:r>
          </w:p>
        </w:tc>
        <w:tc>
          <w:tcPr>
            <w:tcW w:type="dxa" w:w="156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Bloom’s (Hess cell)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6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C3</w:t>
            </w:r>
          </w:p>
        </w:tc>
        <w:tc>
          <w:tcPr>
            <w:tcW w:type="dxa" w:w="7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FT?</w:t>
            </w:r>
          </w:p>
        </w:tc>
        <w:tc>
          <w:tcPr>
            <w:tcW w:type="dxa" w:w="256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Distractor codes</w:t>
            </w:r>
          </w:p>
        </w:tc>
      </w:tr>
      <w:tr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9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GC.23</w:t>
            </w:r>
          </w:p>
        </w:tc>
        <w:tc>
          <w:tcPr>
            <w:tcW w:type="dxa" w:w="7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156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Understand × DOK 2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1.3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0.1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0.2</w:t>
            </w:r>
          </w:p>
        </w:tc>
        <w:tc>
          <w:tcPr>
            <w:tcW w:type="dxa" w:w="6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D2</w:t>
            </w:r>
          </w:p>
        </w:tc>
        <w:tc>
          <w:tcPr>
            <w:tcW w:type="dxa" w:w="7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Y</w:t>
            </w:r>
          </w:p>
        </w:tc>
        <w:tc>
          <w:tcPr>
            <w:tcW w:type="dxa" w:w="256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A:MC C:MC D:NE</w:t>
            </w:r>
          </w:p>
        </w:tc>
      </w:tr>
      <w:tr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9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GC.24</w:t>
            </w:r>
          </w:p>
        </w:tc>
        <w:tc>
          <w:tcPr>
            <w:tcW w:type="dxa" w:w="7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156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Understand × DOK 2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1.2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0.2</w:t>
            </w:r>
          </w:p>
        </w:tc>
        <w:tc>
          <w:tcPr>
            <w:tcW w:type="dxa" w:w="6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D2</w:t>
            </w:r>
          </w:p>
        </w:tc>
        <w:tc>
          <w:tcPr>
            <w:tcW w:type="dxa" w:w="7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Y</w:t>
            </w:r>
          </w:p>
        </w:tc>
        <w:tc>
          <w:tcPr>
            <w:tcW w:type="dxa" w:w="256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A:MC B:NE C:OG</w:t>
            </w:r>
          </w:p>
        </w:tc>
      </w:tr>
      <w:tr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9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GC.25</w:t>
            </w:r>
          </w:p>
        </w:tc>
        <w:tc>
          <w:tcPr>
            <w:tcW w:type="dxa" w:w="7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156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Understand × DOK 2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1.3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-0.1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0.2</w:t>
            </w:r>
          </w:p>
        </w:tc>
        <w:tc>
          <w:tcPr>
            <w:tcW w:type="dxa" w:w="6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D2</w:t>
            </w:r>
          </w:p>
        </w:tc>
        <w:tc>
          <w:tcPr>
            <w:tcW w:type="dxa" w:w="7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Y</w:t>
            </w:r>
          </w:p>
        </w:tc>
        <w:tc>
          <w:tcPr>
            <w:tcW w:type="dxa" w:w="256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B:MC C:PK D:MC</w:t>
            </w:r>
          </w:p>
        </w:tc>
      </w:tr>
      <w:tr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9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GC.26</w:t>
            </w:r>
          </w:p>
        </w:tc>
        <w:tc>
          <w:tcPr>
            <w:tcW w:type="dxa" w:w="7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156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Understand × DOK 2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1.4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0.2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0.2</w:t>
            </w:r>
          </w:p>
        </w:tc>
        <w:tc>
          <w:tcPr>
            <w:tcW w:type="dxa" w:w="6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D2</w:t>
            </w:r>
          </w:p>
        </w:tc>
        <w:tc>
          <w:tcPr>
            <w:tcW w:type="dxa" w:w="7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Y</w:t>
            </w:r>
          </w:p>
        </w:tc>
        <w:tc>
          <w:tcPr>
            <w:tcW w:type="dxa" w:w="256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A:MC B:MC D:NE</w:t>
            </w:r>
          </w:p>
        </w:tc>
      </w:tr>
      <w:tr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9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GC.27</w:t>
            </w:r>
          </w:p>
        </w:tc>
        <w:tc>
          <w:tcPr>
            <w:tcW w:type="dxa" w:w="7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56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Remember × DOK 1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-1.2</w:t>
            </w:r>
          </w:p>
        </w:tc>
        <w:tc>
          <w:tcPr>
            <w:tcW w:type="dxa" w:w="6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0.2</w:t>
            </w:r>
          </w:p>
        </w:tc>
        <w:tc>
          <w:tcPr>
            <w:tcW w:type="dxa" w:w="68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D2</w:t>
            </w:r>
          </w:p>
        </w:tc>
        <w:tc>
          <w:tcPr>
            <w:tcW w:type="dxa" w:w="72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Y</w:t>
            </w:r>
          </w:p>
        </w:tc>
        <w:tc>
          <w:tcPr>
            <w:tcW w:type="dxa" w:w="256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A:OG C:MC D:PK</w:t>
            </w:r>
          </w:p>
        </w:tc>
      </w:tr>
    </w:tbl>
    <w:p>
      <w:pPr>
        <w:pStyle w:val="Heading1"/>
        <w:keepNext/>
        <w:pageBreakBefore/>
        <w:spacing w:before="200" w:after="90"/>
      </w:pPr>
      <w:r>
        <w:rPr>
          <w:b/>
          <w:bCs/>
          <w:i w:val="false"/>
          <w:iCs w:val="false"/>
          <w:color w:val="1B2A4A"/>
          <w:sz w:val="36"/>
          <w:szCs w:val="36"/>
          <w:rFonts w:ascii="Calibri" w:cs="Calibri" w:eastAsia="Calibri" w:hAnsi="Calibri"/>
        </w:rPr>
        <w:t xml:space="preserve">Part 6 — UDL Supports &amp; Remediation (Teacher)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UNIVERSAL DESIGN FOR LEARNING (UDL 3.0) SUPPORTS — APPLIES TO EVERY ITEM</w:t>
            </w:r>
          </w:p>
          <w:p>
            <w:pPr>
              <w:spacing w:after="40"/>
            </w:pPr>
            <w:r>
              <w:rPr>
                <w:b w:val="false"/>
                <w:bCs w:val="false"/>
                <w:i/>
                <w:iCs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These supports vary the MEANS of access, not the mastery target. They apply to every item on the formative checkpoints and both summative forms.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Representation — CAST 3.0 Rep — key terms glossed (EN/ES); read-aloud on request; large-print/screen-reader friendly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Action &amp; Expression — [MC] respond by selecting/pointing/AT · [open] respond in writing, speech, or a labeled diagram; word processor/speech-to-text available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Engagement — action-oriented feedback via the remediation routing; DOK-tiered challenge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Supports vary the means, not the mastery target — UDL design, not modification.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CAST (2024). Universal Design for Learning Guidelines version 3.0.</w:t>
            </w:r>
          </w:p>
        </w:tc>
      </w:tr>
    </w:tbl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HOW TO USE THIS SECTION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For each item: if a student misses it, start with the If-missed reteach, then route by the SPECIFIC wrong choice the student picked (each distractor signals a distinct misconception), and escalate through MTSS Tier 2 → Tier 3 if the misconception persists across parallel forms. Assessment items are classroom-formative · pre-field-test.</w:t>
            </w:r>
          </w:p>
        </w:tc>
      </w:tr>
    </w:tbl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Form A — UDL &amp; distractor-based remediation</w:t>
      </w:r>
    </w:p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Item 1 — GC.23 · DOK 3</w:t>
      </w:r>
    </w:p>
    <w:p>
      <w:pPr>
        <w:spacing w:after="80"/>
      </w:pPr>
      <w:r>
        <w:rPr>
          <w:b/>
          <w:bCs/>
          <w:i w:val="false"/>
          <w:iCs w:val="false"/>
          <w:color w:val="1B2A4A"/>
          <w:sz w:val="22"/>
          <w:szCs w:val="22"/>
          <w:rFonts w:ascii="Calibri" w:cs="Calibri" w:eastAsia="Calibri" w:hAnsi="Calibri"/>
        </w:rPr>
        <w:t xml:space="preserve">If missed:  </w:t>
      </w:r>
      <w:r>
        <w:rPr>
          <w:b w:val="false"/>
          <w:bCs w:val="false"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Revisit “The First Amendment in Court” using the unit's Cornell notes + the standard's graphic organizer; re-check with the Exit Ticket, then re-assess with a parallel-form item.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400"/>
        <w:gridCol w:w="4348"/>
      </w:tblGrid>
      <w:tr>
        <w:trPr>
          <w:tblHeader/>
        </w:trP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Wrong choice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Signals misconception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Targeted reteach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Contradicts Tinker's core holding that students keep their rights.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confront the misconception with a worked counter-example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Overgeneralizes; Tinker protects non-disruptive protest, not bans all protest.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test the overgeneralization against a counter-case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Uses a partly-true idea (speech is protected) but ignores the 'substantial disruption' limit.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model carrying partial evidence to the correct conclusion</w:t>
            </w:r>
          </w:p>
        </w:tc>
      </w:tr>
    </w:tbl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MTSS ROUTING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2 — Small-group (Tier 2) reteach targeting the signaled misconception (10–15 min, organizer + worked example), then re-assess with a parallel item.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3 — If it persists across parallel forms (Tier 3): intensive 1:1 with concrete→representational→abstract scaffolding + think-aloud; progress-monitor weekly toward the same standard.</w:t>
            </w:r>
          </w:p>
        </w:tc>
      </w:tr>
    </w:tbl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Item 2 — GC.24 · DOK 2</w:t>
      </w:r>
    </w:p>
    <w:p>
      <w:pPr>
        <w:spacing w:after="80"/>
      </w:pPr>
      <w:r>
        <w:rPr>
          <w:b/>
          <w:bCs/>
          <w:i w:val="false"/>
          <w:iCs w:val="false"/>
          <w:color w:val="1B2A4A"/>
          <w:sz w:val="22"/>
          <w:szCs w:val="22"/>
          <w:rFonts w:ascii="Calibri" w:cs="Calibri" w:eastAsia="Calibri" w:hAnsi="Calibri"/>
        </w:rPr>
        <w:t xml:space="preserve">If missed:  </w:t>
      </w:r>
      <w:r>
        <w:rPr>
          <w:b w:val="false"/>
          <w:bCs w:val="false"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Revisit “The Second Amendment in Court” using the unit's Cornell notes + the standard's graphic organizer; re-check with the Exit Ticket, then re-assess with a parallel-form item.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400"/>
        <w:gridCol w:w="4348"/>
      </w:tblGrid>
      <w:tr>
        <w:trPr>
          <w:tblHeader/>
        </w:trP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Wrong choice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Signals misconception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Targeted reteach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Judicial review is the power to void laws, not the process of applying rights to states.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clarify the boundary with the confused concept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Symbolic speech is a First Amendment concept, not the state-application doctrine.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clarify the boundary with the confused concept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Original jurisdiction concerns which court hears a case first.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clarify the boundary with the confused concept</w:t>
            </w:r>
          </w:p>
        </w:tc>
      </w:tr>
    </w:tbl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MTSS ROUTING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2 — Small-group (Tier 2) reteach targeting the signaled misconception (10–15 min, organizer + worked example), then re-assess with a parallel item.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3 — If it persists across parallel forms (Tier 3): intensive 1:1 with concrete→representational→abstract scaffolding + think-aloud; progress-monitor weekly toward the same standard.</w:t>
            </w:r>
          </w:p>
        </w:tc>
      </w:tr>
    </w:tbl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Item 3 — GC.25 · DOK 3</w:t>
      </w:r>
    </w:p>
    <w:p>
      <w:pPr>
        <w:spacing w:after="80"/>
      </w:pPr>
      <w:r>
        <w:rPr>
          <w:b/>
          <w:bCs/>
          <w:i w:val="false"/>
          <w:iCs w:val="false"/>
          <w:color w:val="1B2A4A"/>
          <w:sz w:val="22"/>
          <w:szCs w:val="22"/>
          <w:rFonts w:ascii="Calibri" w:cs="Calibri" w:eastAsia="Calibri" w:hAnsi="Calibri"/>
        </w:rPr>
        <w:t xml:space="preserve">If missed:  </w:t>
      </w:r>
      <w:r>
        <w:rPr>
          <w:b w:val="false"/>
          <w:bCs w:val="false"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Revisit “Rights of the Accused (4th–8th Amendments)” using the unit's Cornell notes + the standard's graphic organizer; re-check with the Exit Ticket, then re-assess with a parallel-form item.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400"/>
        <w:gridCol w:w="4348"/>
      </w:tblGrid>
      <w:tr>
        <w:trPr>
          <w:tblHeader/>
        </w:trP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Wrong choice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Signals misconception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Targeted reteach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Contradicts Miranda; being under arrest does not validate unwarned statements.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confront the misconception with a worked counter-example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Overgeneralizes a consequence; Miranda affects statements, not the right to trial.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test the overgeneralization against a counter-case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Confuses amendments; Miranda involves the 5th Amendment, not the 2nd.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clarify the boundary with the confused concept</w:t>
            </w:r>
          </w:p>
        </w:tc>
      </w:tr>
    </w:tbl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MTSS ROUTING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2 — Small-group (Tier 2) reteach targeting the signaled misconception (10–15 min, organizer + worked example), then re-assess with a parallel item.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3 — If it persists across parallel forms (Tier 3): intensive 1:1 with concrete→representational→abstract scaffolding + think-aloud; progress-monitor weekly toward the same standard.</w:t>
            </w:r>
          </w:p>
        </w:tc>
      </w:tr>
    </w:tbl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Item 4 — GC.26 · DOK 3</w:t>
      </w:r>
    </w:p>
    <w:p>
      <w:pPr>
        <w:spacing w:after="80"/>
      </w:pPr>
      <w:r>
        <w:rPr>
          <w:b/>
          <w:bCs/>
          <w:i w:val="false"/>
          <w:iCs w:val="false"/>
          <w:color w:val="1B2A4A"/>
          <w:sz w:val="22"/>
          <w:szCs w:val="22"/>
          <w:rFonts w:ascii="Calibri" w:cs="Calibri" w:eastAsia="Calibri" w:hAnsi="Calibri"/>
        </w:rPr>
        <w:t xml:space="preserve">If missed:  </w:t>
      </w:r>
      <w:r>
        <w:rPr>
          <w:b w:val="false"/>
          <w:bCs w:val="false"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Revisit “The 14th Amendment — Equal Protection &amp; Due Process” using the unit's Cornell notes + the standard's graphic organizer; re-check with the Exit Ticket, then re-assess with a parallel-form item.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400"/>
        <w:gridCol w:w="4348"/>
      </w:tblGrid>
      <w:tr>
        <w:trPr>
          <w:tblHeader/>
        </w:trP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Wrong choice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Signals misconception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Targeted reteach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Misconception that a clause was rewritten; the text stayed the same.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confront the misconception with a worked counter-example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Plessy did rest on equal protection, so this is factually wrong.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contrast the near-miss with the precise answer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Both cases interpreted the 14th Amendment, not different amendments.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confront the misconception with a worked counter-example</w:t>
            </w:r>
          </w:p>
        </w:tc>
      </w:tr>
    </w:tbl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MTSS ROUTING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2 — Small-group (Tier 2) reteach targeting the signaled misconception (10–15 min, organizer + worked example), then re-assess with a parallel item.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3 — If it persists across parallel forms (Tier 3): intensive 1:1 with concrete→representational→abstract scaffolding + think-aloud; progress-monitor weekly toward the same standard.</w:t>
            </w:r>
          </w:p>
        </w:tc>
      </w:tr>
    </w:tbl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Item 5 — GC.27 · DOK 2</w:t>
      </w:r>
    </w:p>
    <w:p>
      <w:pPr>
        <w:spacing w:after="80"/>
      </w:pPr>
      <w:r>
        <w:rPr>
          <w:b/>
          <w:bCs/>
          <w:i w:val="false"/>
          <w:iCs w:val="false"/>
          <w:color w:val="1B2A4A"/>
          <w:sz w:val="22"/>
          <w:szCs w:val="22"/>
          <w:rFonts w:ascii="Calibri" w:cs="Calibri" w:eastAsia="Calibri" w:hAnsi="Calibri"/>
        </w:rPr>
        <w:t xml:space="preserve">If missed:  </w:t>
      </w:r>
      <w:r>
        <w:rPr>
          <w:b w:val="false"/>
          <w:bCs w:val="false"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Revisit “Rights for the Underserved” using the unit's Cornell notes + the standard's graphic organizer; re-check with the Exit Ticket, then re-assess with a parallel-form item.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400"/>
        <w:gridCol w:w="4348"/>
      </w:tblGrid>
      <w:tr>
        <w:trPr>
          <w:tblHeader/>
        </w:trP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Wrong choice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Signals misconception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Targeted reteach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Describes Title IX, not the ADA.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clarify the boundary with the confused concept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Describes Gideon v. Wainwright, not the ADA.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clarify the boundary with the confused concept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Describes McDonald v. Chicago, not the ADA.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clarify the boundary with the confused concept</w:t>
            </w:r>
          </w:p>
        </w:tc>
      </w:tr>
    </w:tbl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MTSS ROUTING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2 — Small-group (Tier 2) reteach targeting the signaled misconception (10–15 min, organizer + worked example), then re-assess with a parallel item.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3 — If it persists across parallel forms (Tier 3): intensive 1:1 with concrete→representational→abstract scaffolding + think-aloud; progress-monitor weekly toward the same standard.</w:t>
            </w:r>
          </w:p>
        </w:tc>
      </w:tr>
    </w:tbl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Form B — UDL &amp; distractor-based remediation</w:t>
      </w:r>
    </w:p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Item 1 — GC.23 · DOK 2</w:t>
      </w:r>
    </w:p>
    <w:p>
      <w:pPr>
        <w:spacing w:after="80"/>
      </w:pPr>
      <w:r>
        <w:rPr>
          <w:b/>
          <w:bCs/>
          <w:i w:val="false"/>
          <w:iCs w:val="false"/>
          <w:color w:val="1B2A4A"/>
          <w:sz w:val="22"/>
          <w:szCs w:val="22"/>
          <w:rFonts w:ascii="Calibri" w:cs="Calibri" w:eastAsia="Calibri" w:hAnsi="Calibri"/>
        </w:rPr>
        <w:t xml:space="preserve">If missed:  </w:t>
      </w:r>
      <w:r>
        <w:rPr>
          <w:b w:val="false"/>
          <w:bCs w:val="false"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Revisit “The First Amendment in Court” using the unit's Cornell notes + the standard's graphic organizer; re-check with the Exit Ticket, then re-assess with a parallel-form item.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400"/>
        <w:gridCol w:w="4348"/>
      </w:tblGrid>
      <w:tr>
        <w:trPr>
          <w:tblHeader/>
        </w:trP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Wrong choice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Signals misconception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Targeted reteach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Press cases are New York Times v. United States and Miller, not Engel or Lemon.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clarify the boundary with the confused concept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Assembly is a different First Amendment freedom not at issue in these cases.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clarify the boundary with the confused concept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Petition is a separate freedom; these cases concern religion.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clarify the boundary with the confused concept</w:t>
            </w:r>
          </w:p>
        </w:tc>
      </w:tr>
    </w:tbl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MTSS ROUTING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2 — Small-group (Tier 2) reteach targeting the signaled misconception (10–15 min, organizer + worked example), then re-assess with a parallel item.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3 — If it persists across parallel forms (Tier 3): intensive 1:1 with concrete→representational→abstract scaffolding + think-aloud; progress-monitor weekly toward the same standard.</w:t>
            </w:r>
          </w:p>
        </w:tc>
      </w:tr>
    </w:tbl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Item 2 — GC.24 · DOK 2</w:t>
      </w:r>
    </w:p>
    <w:p>
      <w:pPr>
        <w:spacing w:after="80"/>
      </w:pPr>
      <w:r>
        <w:rPr>
          <w:b/>
          <w:bCs/>
          <w:i w:val="false"/>
          <w:iCs w:val="false"/>
          <w:color w:val="1B2A4A"/>
          <w:sz w:val="22"/>
          <w:szCs w:val="22"/>
          <w:rFonts w:ascii="Calibri" w:cs="Calibri" w:eastAsia="Calibri" w:hAnsi="Calibri"/>
        </w:rPr>
        <w:t xml:space="preserve">If missed:  </w:t>
      </w:r>
      <w:r>
        <w:rPr>
          <w:b w:val="false"/>
          <w:bCs w:val="false"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Revisit “The Second Amendment in Court” using the unit's Cornell notes + the standard's graphic organizer; re-check with the Exit Ticket, then re-assess with a parallel-form item.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400"/>
        <w:gridCol w:w="4348"/>
      </w:tblGrid>
      <w:tr>
        <w:trPr>
          <w:tblHeader/>
        </w:trP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Wrong choice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Signals misconception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Targeted reteach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Contradicts Heller's individual-right holding.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confront the misconception with a worked counter-example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Overgeneralizes; a total ban conflicts with the recognized right.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test the overgeneralization against a counter-case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Contradicts Heller, which found an individual right.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confront the misconception with a worked counter-example</w:t>
            </w:r>
          </w:p>
        </w:tc>
      </w:tr>
    </w:tbl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MTSS ROUTING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2 — Small-group (Tier 2) reteach targeting the signaled misconception (10–15 min, organizer + worked example), then re-assess with a parallel item.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3 — If it persists across parallel forms (Tier 3): intensive 1:1 with concrete→representational→abstract scaffolding + think-aloud; progress-monitor weekly toward the same standard.</w:t>
            </w:r>
          </w:p>
        </w:tc>
      </w:tr>
    </w:tbl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Item 3 — GC.25 · DOK 1</w:t>
      </w:r>
    </w:p>
    <w:p>
      <w:pPr>
        <w:spacing w:after="80"/>
      </w:pPr>
      <w:r>
        <w:rPr>
          <w:b/>
          <w:bCs/>
          <w:i w:val="false"/>
          <w:iCs w:val="false"/>
          <w:color w:val="1B2A4A"/>
          <w:sz w:val="22"/>
          <w:szCs w:val="22"/>
          <w:rFonts w:ascii="Calibri" w:cs="Calibri" w:eastAsia="Calibri" w:hAnsi="Calibri"/>
        </w:rPr>
        <w:t xml:space="preserve">If missed:  </w:t>
      </w:r>
      <w:r>
        <w:rPr>
          <w:b w:val="false"/>
          <w:bCs w:val="false"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Revisit “Rights of the Accused (4th–8th Amendments)” using the unit's Cornell notes + the standard's graphic organizer; re-check with the Exit Ticket, then re-assess with a parallel-form item.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400"/>
        <w:gridCol w:w="4348"/>
      </w:tblGrid>
      <w:tr>
        <w:trPr>
          <w:tblHeader/>
        </w:trP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Wrong choice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Signals misconception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Targeted reteach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Mapp established the exclusionary rule, not the right to counsel.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contrast the near-miss with the precise answer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Miranda concerns warnings and silence, not appointed counsel.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contrast the near-miss with the precise answer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Brown is an equal-protection case, unrelated to right to counsel.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clarify the boundary with the confused concept</w:t>
            </w:r>
          </w:p>
        </w:tc>
      </w:tr>
    </w:tbl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MTSS ROUTING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2 — Small-group (Tier 2) reteach targeting the signaled misconception (10–15 min, organizer + worked example), then re-assess with a parallel item.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3 — If it persists across parallel forms (Tier 3): intensive 1:1 with concrete→representational→abstract scaffolding + think-aloud; progress-monitor weekly toward the same standard.</w:t>
            </w:r>
          </w:p>
        </w:tc>
      </w:tr>
    </w:tbl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Item 4 — GC.26 · DOK 2</w:t>
      </w:r>
    </w:p>
    <w:p>
      <w:pPr>
        <w:spacing w:after="80"/>
      </w:pPr>
      <w:r>
        <w:rPr>
          <w:b/>
          <w:bCs/>
          <w:i w:val="false"/>
          <w:iCs w:val="false"/>
          <w:color w:val="1B2A4A"/>
          <w:sz w:val="22"/>
          <w:szCs w:val="22"/>
          <w:rFonts w:ascii="Calibri" w:cs="Calibri" w:eastAsia="Calibri" w:hAnsi="Calibri"/>
        </w:rPr>
        <w:t xml:space="preserve">If missed:  </w:t>
      </w:r>
      <w:r>
        <w:rPr>
          <w:b w:val="false"/>
          <w:bCs w:val="false"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Revisit “The 14th Amendment — Equal Protection &amp; Due Process” using the unit's Cornell notes + the standard's graphic organizer; re-check with the Exit Ticket, then re-assess with a parallel-form item.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400"/>
        <w:gridCol w:w="4348"/>
      </w:tblGrid>
      <w:tr>
        <w:trPr>
          <w:tblHeader/>
        </w:trP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Wrong choice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Signals misconception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Targeted reteach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Schenck rests on the First Amendment, not equal protection.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clarify the boundary with the confused concept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Heller rests on the Second Amendment, not equal protection.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clarify the boundary with the confused concept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Miranda rests on the Fifth Amendment, not equal protection.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clarify the boundary with the confused concept</w:t>
            </w:r>
          </w:p>
        </w:tc>
      </w:tr>
    </w:tbl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MTSS ROUTING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2 — Small-group (Tier 2) reteach targeting the signaled misconception (10–15 min, organizer + worked example), then re-assess with a parallel item.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3 — If it persists across parallel forms (Tier 3): intensive 1:1 with concrete→representational→abstract scaffolding + think-aloud; progress-monitor weekly toward the same standard.</w:t>
            </w:r>
          </w:p>
        </w:tc>
      </w:tr>
    </w:tbl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Item 5 — GC.27 · DOK 3</w:t>
      </w:r>
    </w:p>
    <w:p>
      <w:pPr>
        <w:spacing w:after="80"/>
      </w:pPr>
      <w:r>
        <w:rPr>
          <w:b/>
          <w:bCs/>
          <w:i w:val="false"/>
          <w:iCs w:val="false"/>
          <w:color w:val="1B2A4A"/>
          <w:sz w:val="22"/>
          <w:szCs w:val="22"/>
          <w:rFonts w:ascii="Calibri" w:cs="Calibri" w:eastAsia="Calibri" w:hAnsi="Calibri"/>
        </w:rPr>
        <w:t xml:space="preserve">If missed:  </w:t>
      </w:r>
      <w:r>
        <w:rPr>
          <w:b w:val="false"/>
          <w:bCs w:val="false"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Revisit “Rights for the Underserved” using the unit's Cornell notes + the standard's graphic organizer; re-check with the Exit Ticket, then re-assess with a parallel-form item.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400"/>
        <w:gridCol w:w="4348"/>
      </w:tblGrid>
      <w:tr>
        <w:trPr>
          <w:tblHeader/>
        </w:trP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Wrong choice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Signals misconception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Targeted reteach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Korematsu had nothing to do with Title IX.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clarify the boundary with the confused concept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Korematsu narrowed rights; it did not expand voting rights.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confront the misconception with a worked counter-example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Ending segregation was Brown, not Korematsu.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clarify the boundary with the confused concept</w:t>
            </w:r>
          </w:p>
        </w:tc>
      </w:tr>
    </w:tbl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MTSS ROUTING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2 — Small-group (Tier 2) reteach targeting the signaled misconception (10–15 min, organizer + worked example), then re-assess with a parallel item.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3 — If it persists across parallel forms (Tier 3): intensive 1:1 with concrete→representational→abstract scaffolding + think-aloud; progress-monitor weekly toward the same standard.</w:t>
            </w:r>
          </w:p>
        </w:tc>
      </w:tr>
    </w:tbl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Formative Checkpoints — UDL &amp; distractor-based remediation</w:t>
      </w:r>
    </w:p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Item 1 — GC.23 · DOK 2</w:t>
      </w:r>
    </w:p>
    <w:p>
      <w:pPr>
        <w:spacing w:after="80"/>
      </w:pPr>
      <w:r>
        <w:rPr>
          <w:b/>
          <w:bCs/>
          <w:i w:val="false"/>
          <w:iCs w:val="false"/>
          <w:color w:val="1B2A4A"/>
          <w:sz w:val="22"/>
          <w:szCs w:val="22"/>
          <w:rFonts w:ascii="Calibri" w:cs="Calibri" w:eastAsia="Calibri" w:hAnsi="Calibri"/>
        </w:rPr>
        <w:t xml:space="preserve">If missed:  </w:t>
      </w:r>
      <w:r>
        <w:rPr>
          <w:b w:val="false"/>
          <w:bCs w:val="false"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Revisit “The First Amendment in Court” using the unit's Cornell notes + the standard's graphic organizer; re-check with the Exit Ticket, then re-assess with a parallel-form item.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400"/>
        <w:gridCol w:w="4348"/>
      </w:tblGrid>
      <w:tr>
        <w:trPr>
          <w:tblHeader/>
        </w:trP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Wrong choice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Signals misconception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Targeted reteach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Overstates school authority; Tinker limits, not expands, the power to ban expression.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confront the misconception with a worked counter-example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Misconception that students have no First Amendment rights; Tinker holds the opposite.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confront the misconception with a worked counter-example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Right topic but wrong holding; both students and teachers retain rights under Tinker.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contrast the near-miss with the precise answer</w:t>
            </w:r>
          </w:p>
        </w:tc>
      </w:tr>
    </w:tbl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MTSS ROUTING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2 — Small-group (Tier 2) reteach targeting the signaled misconception (10–15 min, organizer + worked example), then re-assess with a parallel item.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3 — If it persists across parallel forms (Tier 3): intensive 1:1 with concrete→representational→abstract scaffolding + think-aloud; progress-monitor weekly toward the same standard.</w:t>
            </w:r>
          </w:p>
        </w:tc>
      </w:tr>
    </w:tbl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Item 2 — GC.24 · DOK 2</w:t>
      </w:r>
    </w:p>
    <w:p>
      <w:pPr>
        <w:spacing w:after="80"/>
      </w:pPr>
      <w:r>
        <w:rPr>
          <w:b/>
          <w:bCs/>
          <w:i w:val="false"/>
          <w:iCs w:val="false"/>
          <w:color w:val="1B2A4A"/>
          <w:sz w:val="22"/>
          <w:szCs w:val="22"/>
          <w:rFonts w:ascii="Calibri" w:cs="Calibri" w:eastAsia="Calibri" w:hAnsi="Calibri"/>
        </w:rPr>
        <w:t xml:space="preserve">If missed:  </w:t>
      </w:r>
      <w:r>
        <w:rPr>
          <w:b w:val="false"/>
          <w:bCs w:val="false"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Revisit “The Second Amendment in Court” using the unit's Cornell notes + the standard's graphic organizer; re-check with the Exit Ticket, then re-assess with a parallel-form item.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400"/>
        <w:gridCol w:w="4348"/>
      </w:tblGrid>
      <w:tr>
        <w:trPr>
          <w:tblHeader/>
        </w:trP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Wrong choice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Signals misconception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Targeted reteach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Misconception that only the military may bear arms; Heller recognized an individual right.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confront the misconception with a worked counter-example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The militia-only reading is the interpretation Heller rejected.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contrast the near-miss with the precise answer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Overgeneralizes state power; Heller struck down a strict handgun ban.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test the overgeneralization against a counter-case</w:t>
            </w:r>
          </w:p>
        </w:tc>
      </w:tr>
    </w:tbl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MTSS ROUTING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2 — Small-group (Tier 2) reteach targeting the signaled misconception (10–15 min, organizer + worked example), then re-assess with a parallel item.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3 — If it persists across parallel forms (Tier 3): intensive 1:1 with concrete→representational→abstract scaffolding + think-aloud; progress-monitor weekly toward the same standard.</w:t>
            </w:r>
          </w:p>
        </w:tc>
      </w:tr>
    </w:tbl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Item 3 — GC.25 · DOK 2</w:t>
      </w:r>
    </w:p>
    <w:p>
      <w:pPr>
        <w:spacing w:after="80"/>
      </w:pPr>
      <w:r>
        <w:rPr>
          <w:b/>
          <w:bCs/>
          <w:i w:val="false"/>
          <w:iCs w:val="false"/>
          <w:color w:val="1B2A4A"/>
          <w:sz w:val="22"/>
          <w:szCs w:val="22"/>
          <w:rFonts w:ascii="Calibri" w:cs="Calibri" w:eastAsia="Calibri" w:hAnsi="Calibri"/>
        </w:rPr>
        <w:t xml:space="preserve">If missed:  </w:t>
      </w:r>
      <w:r>
        <w:rPr>
          <w:b w:val="false"/>
          <w:bCs w:val="false"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Revisit “Rights of the Accused (4th–8th Amendments)” using the unit's Cornell notes + the standard's graphic organizer; re-check with the Exit Ticket, then re-assess with a parallel-form item.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400"/>
        <w:gridCol w:w="4348"/>
      </w:tblGrid>
      <w:tr>
        <w:trPr>
          <w:tblHeader/>
        </w:trP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Wrong choice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Signals misconception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Targeted reteach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Contradicts the 4th Amendment, which the exclusionary rule enforces.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confront the misconception with a worked counter-example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Confuses the 4th Amendment rule with the 5th Amendment right to remain silent.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clarify the boundary with the confused concept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Misconception unrelated to the exclusionary rule; trials are public under the 6th Amendment.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confront the misconception with a worked counter-example</w:t>
            </w:r>
          </w:p>
        </w:tc>
      </w:tr>
    </w:tbl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MTSS ROUTING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2 — Small-group (Tier 2) reteach targeting the signaled misconception (10–15 min, organizer + worked example), then re-assess with a parallel item.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3 — If it persists across parallel forms (Tier 3): intensive 1:1 with concrete→representational→abstract scaffolding + think-aloud; progress-monitor weekly toward the same standard.</w:t>
            </w:r>
          </w:p>
        </w:tc>
      </w:tr>
    </w:tbl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Item 4 — GC.26 · DOK 2</w:t>
      </w:r>
    </w:p>
    <w:p>
      <w:pPr>
        <w:spacing w:after="80"/>
      </w:pPr>
      <w:r>
        <w:rPr>
          <w:b/>
          <w:bCs/>
          <w:i w:val="false"/>
          <w:iCs w:val="false"/>
          <w:color w:val="1B2A4A"/>
          <w:sz w:val="22"/>
          <w:szCs w:val="22"/>
          <w:rFonts w:ascii="Calibri" w:cs="Calibri" w:eastAsia="Calibri" w:hAnsi="Calibri"/>
        </w:rPr>
        <w:t xml:space="preserve">If missed:  </w:t>
      </w:r>
      <w:r>
        <w:rPr>
          <w:b w:val="false"/>
          <w:bCs w:val="false"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Revisit “The 14th Amendment — Equal Protection &amp; Due Process” using the unit's Cornell notes + the standard's graphic organizer; re-check with the Exit Ticket, then re-assess with a parallel-form item.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400"/>
        <w:gridCol w:w="4348"/>
      </w:tblGrid>
      <w:tr>
        <w:trPr>
          <w:tblHeader/>
        </w:trP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Wrong choice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Signals misconception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Targeted reteach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Reverses the ruling; Brown overturned, not upheld, 'separate but equal.'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confront the misconception with a worked counter-example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Misconception that a case can delete a constitutional clause.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confront the misconception with a worked counter-example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Wrong scope; Brown concerned public schools, not private colleges.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contrast the near-miss with the precise answer</w:t>
            </w:r>
          </w:p>
        </w:tc>
      </w:tr>
    </w:tbl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MTSS ROUTING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2 — Small-group (Tier 2) reteach targeting the signaled misconception (10–15 min, organizer + worked example), then re-assess with a parallel item.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3 — If it persists across parallel forms (Tier 3): intensive 1:1 with concrete→representational→abstract scaffolding + think-aloud; progress-monitor weekly toward the same standard.</w:t>
            </w:r>
          </w:p>
        </w:tc>
      </w:tr>
    </w:tbl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Item 5 — GC.27 · DOK 1</w:t>
      </w:r>
    </w:p>
    <w:p>
      <w:pPr>
        <w:spacing w:after="80"/>
      </w:pPr>
      <w:r>
        <w:rPr>
          <w:b/>
          <w:bCs/>
          <w:i w:val="false"/>
          <w:iCs w:val="false"/>
          <w:color w:val="1B2A4A"/>
          <w:sz w:val="22"/>
          <w:szCs w:val="22"/>
          <w:rFonts w:ascii="Calibri" w:cs="Calibri" w:eastAsia="Calibri" w:hAnsi="Calibri"/>
        </w:rPr>
        <w:t xml:space="preserve">If missed:  </w:t>
      </w:r>
      <w:r>
        <w:rPr>
          <w:b w:val="false"/>
          <w:bCs w:val="false"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Revisit “Rights for the Underserved” using the unit's Cornell notes + the standard's graphic organizer; re-check with the Exit Ticket, then re-assess with a parallel-form item.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400"/>
        <w:gridCol w:w="4348"/>
      </w:tblGrid>
      <w:tr>
        <w:trPr>
          <w:tblHeader/>
        </w:trP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Wrong choice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Signals misconception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Targeted reteach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Overgeneralizes; Title IX bars sex discrimination, not tuition.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test the overgeneralization against a counter-case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Misconception unrelated to Title IX's actual purpose.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confront the misconception with a worked counter-example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44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Confuses Title IX with the 26th Amendment's voting age.</w:t>
            </w:r>
          </w:p>
        </w:tc>
        <w:tc>
          <w:tcPr>
            <w:tcW w:type="dxa" w:w="43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clarify the boundary with the confused concept</w:t>
            </w:r>
          </w:p>
        </w:tc>
      </w:tr>
    </w:tbl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MTSS ROUTING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2 — Small-group (Tier 2) reteach targeting the signaled misconception (10–15 min, organizer + worked example), then re-assess with a parallel item.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Tier 3 — If it persists across parallel forms (Tier 3): intensive 1:1 with concrete→representational→abstract scaffolding + think-aloud; progress-monitor weekly toward the same standard.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1152" w:right="1296" w:bottom="1152" w:left="1296" w:header="720" w:footer="7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b w:val="false"/>
        <w:bCs w:val="false"/>
        <w:i w:val="false"/>
        <w:iCs w:val="false"/>
        <w:color w:val="6B7280"/>
        <w:sz w:val="16"/>
        <w:szCs w:val="16"/>
        <w:rFonts w:ascii="Calibri" w:cs="Calibri" w:eastAsia="Calibri" w:hAnsi="Calibri"/>
      </w:rPr>
      <w:t xml:space="preserve">Government Hack™ · Unit 6 (Course Standard) © 2026 TroopToTeacher Technologies LLC   |   Page </w:t>
    </w:r>
    <w:r>
      <w:rPr>
        <w:color w:val="6B7280"/>
        <w:sz w:val="16"/>
        <w:szCs w:val="16"/>
        <w:rFonts w:ascii="Calibri" w:cs="Calibri" w:eastAsia="Calibri" w:hAnsi="Calibri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rPr>
        <w:b/>
        <w:bCs/>
        <w:i w:val="false"/>
        <w:iCs w:val="false"/>
        <w:color w:val="C89B3C"/>
        <w:sz w:val="16"/>
        <w:szCs w:val="16"/>
        <w:rFonts w:ascii="Calibri" w:cs="Calibri" w:eastAsia="Calibri" w:hAnsi="Calibri"/>
      </w:rPr>
      <w:t xml:space="preserve">Government Hack™ · Unit 6 · Assessment Book (Teacher)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1A1A1A"/>
        <w:sz w:val="22"/>
        <w:szCs w:val="22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2026-07-30T04:06:15.647Z</dcterms:created>
  <dcterms:modified xsi:type="dcterms:W3CDTF">2026-07-30T04:06:15.647Z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