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  <w:jc w:val="center"/>
      </w:pPr>
      <w:r>
        <w:rPr>
          <w:rFonts w:ascii="Calibri" w:cs="Calibri" w:eastAsia="Calibri" w:hAnsi="Calibri"/>
          <w:b/>
          <w:bCs/>
          <w:color w:val="746C60"/>
          <w:sz w:val="24"/>
          <w:szCs w:val="24"/>
        </w:rPr>
        <w:t xml:space="preserve">Acme Ltd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28241E"/>
          <w:sz w:val="48"/>
          <w:szCs w:val="48"/>
        </w:rPr>
        <w:t xml:space="preserve">Ignition Supervisory Control and Data Acquisition (SCADA) Support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315E6D"/>
          <w:sz w:val="30"/>
          <w:szCs w:val="30"/>
        </w:rPr>
        <w:t xml:space="preserve">Bid response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746C60"/>
          <w:sz w:val="21"/>
          <w:szCs w:val="21"/>
        </w:rPr>
        <w:t xml:space="preserve">Prepared for Northern Lighthouse Board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746C60"/>
          <w:sz w:val="21"/>
          <w:szCs w:val="21"/>
        </w:rPr>
        <w:t xml:space="preserve">Prepared by Acme Ltd</w:t>
      </w:r>
    </w:p>
    <w:p>
      <w:r>
        <w:br w:type="page"/>
      </w:r>
    </w:p>
    <w:p>
      <w:pPr>
        <w:pStyle w:val="Heading1"/>
        <w:keepNext/>
      </w:pPr>
      <w:r>
        <w:t xml:space="preserve">Schedule 5 – Pricing Schedule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Pricing is required for the 5-year support contract. The buyer’s estimated value is not a ceiling, so the schedule is preserved with rate-required fields for human pricing completion.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Appendix A: Pricing Schedule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Contract Reference: FAIS/SUPP/2687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Title: Ignition Supervisory Control and Data Acquisition (SCADA) Support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Description | Price per Year Each £ Excl. VAT | Comments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Project Costs |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[RATE REQUIRED]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 |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[RATE REQUIRED]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Ignition Supervisory Control and Data Acquisition (SCADA) Support for a period of 5 years |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[RATE REQUIRED]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 | Includes support, updates, maintenance, documentation, SLA delivery and contract management as priced for commercial approval.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Signed: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[INSERT]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[INSERT]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Name (in Block Capitals):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[INSERT]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Position: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[INSERT]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For and on Behalf of (In Block Capitals): Acme Ltd</w:t>
      </w:r>
    </w:p>
    <w:p>
      <w:pPr>
        <w:widowControl/>
        <w:spacing w:after="160" w:before="0" w:line="320" w:lineRule="auto"/>
        <w:jc w:val="both"/>
      </w:pPr>
      <w:r>
        <w:rPr>
          <w:rFonts w:ascii="Calibri" w:cs="Calibri" w:eastAsia="Calibri" w:hAnsi="Calibri"/>
          <w:color w:val="28241E"/>
          <w:sz w:val="22"/>
          <w:szCs w:val="22"/>
        </w:rPr>
        <w:t xml:space="preserve">Note: Because the pack does not provide a clear maximum budget for pricing allocation, the pricing schedule is retained with 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[RATE REQUIRED]</w:t>
      </w:r>
      <w:r>
        <w:rPr>
          <w:rFonts w:ascii="Calibri" w:cs="Calibri" w:eastAsia="Calibri" w:hAnsi="Calibri"/>
          <w:color w:val="28241E"/>
          <w:sz w:val="22"/>
          <w:szCs w:val="22"/>
        </w:rPr>
        <w:t xml:space="preserve"> fields rather than populated figures.</w:t>
      </w:r>
    </w:p>
    <w:sectPr>
      <w:headerReference w:type="default" r:id="rId7"/>
      <w:footerReference w:type="default" r:id="rId8"/>
      <w:pgSz w:w="12240" w:h="15840" w:orient="portrait"/>
      <w:pgMar w:top="1440" w:right="1440" w:bottom="2304" w:left="1440" w:header="708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46C60"/>
        <w:sz w:val="17"/>
        <w:szCs w:val="17"/>
      </w:rPr>
      <w:t xml:space="preserve">First-pass editable response  •  Page </w:t>
    </w:r>
    <w:r>
      <w:rPr>
        <w:rFonts w:ascii="Calibri" w:cs="Calibri" w:eastAsia="Calibri" w:hAnsi="Calibri"/>
        <w:color w:val="746C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746C60"/>
        <w:sz w:val="17"/>
        <w:szCs w:val="17"/>
      </w:rPr>
      <w:t xml:space="preserve">Acme Ltd  |  Northern Lighthouse 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Calibri" w:cs="Calibri" w:eastAsia="Calibri" w:hAnsi="Calibri"/>
        <w:color w:val="315E6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41E"/>
        <w:sz w:val="22"/>
        <w:szCs w:val="22"/>
      </w:rPr>
    </w:rPrDefault>
    <w:pPrDefault>
      <w:pPr>
        <w:spacing w:after="160" w:before="0"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Calibri" w:cs="Calibri" w:eastAsia="Calibri" w:hAnsi="Calibri"/>
      <w:b/>
      <w:bCs/>
      <w:color w:val="315E6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315E6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315E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Ignition SCADA Support – first-pass response pack</dc:title>
  <dc:creator>SignalRoute</dc:creator>
  <dc:description>Editable first-pass tender response</dc:description>
  <cp:lastModifiedBy>Un-named</cp:lastModifiedBy>
  <cp:revision>1</cp:revision>
  <dcterms:created xsi:type="dcterms:W3CDTF">2026-08-16T17:59:47.168Z</dcterms:created>
  <dcterms:modified xsi:type="dcterms:W3CDTF">2026-08-16T17:59:47.168Z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