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F1716" w14:textId="780E5153" w:rsidR="00167FD1" w:rsidRDefault="00167FD1" w:rsidP="009C21DF">
      <w:pPr>
        <w:rPr>
          <w:lang w:val="en-GB"/>
        </w:rPr>
      </w:pPr>
      <w:r w:rsidRPr="00167FD1">
        <w:rPr>
          <w:lang w:val="en-GB"/>
        </w:rPr>
        <w:t xml:space="preserve">This paper </w:t>
      </w:r>
      <w:r>
        <w:rPr>
          <w:lang w:val="en-GB"/>
        </w:rPr>
        <w:t>explores</w:t>
      </w:r>
      <w:r w:rsidRPr="00167FD1">
        <w:rPr>
          <w:lang w:val="en-GB"/>
        </w:rPr>
        <w:t xml:space="preserve"> momentum and value factor returns in 23 developed international stock markets</w:t>
      </w:r>
      <w:r>
        <w:rPr>
          <w:lang w:val="en-GB"/>
        </w:rPr>
        <w:t>.</w:t>
      </w:r>
      <w:r w:rsidR="009C21DF">
        <w:rPr>
          <w:lang w:val="en-GB"/>
        </w:rPr>
        <w:t xml:space="preserve"> It contributes </w:t>
      </w:r>
      <w:r w:rsidR="009C21DF" w:rsidRPr="009C21DF">
        <w:rPr>
          <w:lang w:val="en-GB"/>
        </w:rPr>
        <w:t>to the existing</w:t>
      </w:r>
      <w:r w:rsidR="009C21DF">
        <w:rPr>
          <w:lang w:val="en-GB"/>
        </w:rPr>
        <w:t xml:space="preserve"> </w:t>
      </w:r>
      <w:r w:rsidR="009C21DF" w:rsidRPr="009C21DF">
        <w:rPr>
          <w:lang w:val="en-GB"/>
        </w:rPr>
        <w:t>literature by working with country-level data rather than regional data, focusing on the size</w:t>
      </w:r>
      <w:r w:rsidR="009C21DF">
        <w:rPr>
          <w:lang w:val="en-GB"/>
        </w:rPr>
        <w:t xml:space="preserve"> </w:t>
      </w:r>
      <w:r w:rsidR="009C21DF" w:rsidRPr="009C21DF">
        <w:rPr>
          <w:lang w:val="en-GB"/>
        </w:rPr>
        <w:t>patterns in value and momentum returns, and exploring the macroeconomic and liquidity</w:t>
      </w:r>
      <w:r w:rsidR="009C21DF">
        <w:rPr>
          <w:lang w:val="en-GB"/>
        </w:rPr>
        <w:t xml:space="preserve"> </w:t>
      </w:r>
      <w:r w:rsidR="009C21DF" w:rsidRPr="009C21DF">
        <w:rPr>
          <w:lang w:val="en-GB"/>
        </w:rPr>
        <w:t>loadings of value and momentum returns.</w:t>
      </w:r>
    </w:p>
    <w:p w14:paraId="2D41BBAE" w14:textId="65C7BCBC" w:rsidR="003350AA" w:rsidRDefault="004C5199" w:rsidP="0077513E">
      <w:pPr>
        <w:rPr>
          <w:lang w:val="en-GB"/>
        </w:rPr>
      </w:pPr>
      <w:r>
        <w:rPr>
          <w:lang w:val="en-GB"/>
        </w:rPr>
        <w:t xml:space="preserve">4 </w:t>
      </w:r>
      <w:r w:rsidR="0077513E">
        <w:rPr>
          <w:lang w:val="en-GB"/>
        </w:rPr>
        <w:t>Interest</w:t>
      </w:r>
      <w:r>
        <w:rPr>
          <w:lang w:val="en-GB"/>
        </w:rPr>
        <w:t>s of research</w:t>
      </w:r>
      <w:r w:rsidR="0077513E">
        <w:rPr>
          <w:lang w:val="en-GB"/>
        </w:rPr>
        <w:t xml:space="preserve">: </w:t>
      </w:r>
    </w:p>
    <w:p w14:paraId="5852C3BA" w14:textId="03088087" w:rsidR="0077513E" w:rsidRDefault="003350AA" w:rsidP="003350AA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First, </w:t>
      </w:r>
      <w:r w:rsidR="0077513E" w:rsidRPr="003350AA">
        <w:rPr>
          <w:lang w:val="en-GB"/>
        </w:rPr>
        <w:t>interest here is to understand whether investors can earn the same value and momentum</w:t>
      </w:r>
      <w:r w:rsidR="0077513E" w:rsidRPr="003350AA">
        <w:rPr>
          <w:lang w:val="en-GB"/>
        </w:rPr>
        <w:t xml:space="preserve"> </w:t>
      </w:r>
      <w:r w:rsidR="0077513E" w:rsidRPr="003350AA">
        <w:rPr>
          <w:lang w:val="en-GB"/>
        </w:rPr>
        <w:t>returns if they restrict their analysis to large capitalization (big) stocks, which typically</w:t>
      </w:r>
      <w:r w:rsidR="0077513E" w:rsidRPr="003350AA">
        <w:rPr>
          <w:lang w:val="en-GB"/>
        </w:rPr>
        <w:t xml:space="preserve"> </w:t>
      </w:r>
      <w:r w:rsidR="0077513E" w:rsidRPr="003350AA">
        <w:rPr>
          <w:lang w:val="en-GB"/>
        </w:rPr>
        <w:t>have lower transaction costs relative to small capitalization (small) stocks</w:t>
      </w:r>
      <w:r w:rsidR="0077513E" w:rsidRPr="003350AA">
        <w:rPr>
          <w:lang w:val="en-GB"/>
        </w:rPr>
        <w:t xml:space="preserve">. </w:t>
      </w:r>
      <w:r w:rsidR="00487F04">
        <w:rPr>
          <w:lang w:val="en-GB"/>
        </w:rPr>
        <w:t>They</w:t>
      </w:r>
      <w:r w:rsidR="0077513E" w:rsidRPr="003350AA">
        <w:rPr>
          <w:lang w:val="en-GB"/>
        </w:rPr>
        <w:t xml:space="preserve"> find that</w:t>
      </w:r>
      <w:r w:rsidR="0077513E" w:rsidRPr="003350AA">
        <w:rPr>
          <w:lang w:val="en-GB"/>
        </w:rPr>
        <w:t xml:space="preserve"> </w:t>
      </w:r>
      <w:r w:rsidR="0077513E" w:rsidRPr="003350AA">
        <w:rPr>
          <w:lang w:val="en-GB"/>
        </w:rPr>
        <w:t>for almost all countries, value and momentum effects are smaller for big stocks.</w:t>
      </w:r>
    </w:p>
    <w:p w14:paraId="3FB4C6FC" w14:textId="00E85DE2" w:rsidR="003350AA" w:rsidRDefault="003350AA" w:rsidP="003350AA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Second, correlation between value and momentum in the same country. t</w:t>
      </w:r>
      <w:r w:rsidRPr="003350AA">
        <w:rPr>
          <w:lang w:val="en-GB"/>
        </w:rPr>
        <w:t>he economic question is whether investors in a given country can earn significant</w:t>
      </w:r>
      <w:r>
        <w:rPr>
          <w:lang w:val="en-GB"/>
        </w:rPr>
        <w:t xml:space="preserve"> </w:t>
      </w:r>
      <w:r w:rsidRPr="003350AA">
        <w:rPr>
          <w:lang w:val="en-GB"/>
        </w:rPr>
        <w:t>diversification benefits by combining value and momentum strategies.</w:t>
      </w:r>
      <w:r>
        <w:rPr>
          <w:lang w:val="en-GB"/>
        </w:rPr>
        <w:t xml:space="preserve"> </w:t>
      </w:r>
      <w:r w:rsidR="00487F04">
        <w:rPr>
          <w:lang w:val="en-GB"/>
        </w:rPr>
        <w:t>They</w:t>
      </w:r>
      <w:r w:rsidRPr="003350AA">
        <w:rPr>
          <w:lang w:val="en-GB"/>
        </w:rPr>
        <w:t xml:space="preserve"> find that</w:t>
      </w:r>
      <w:r>
        <w:rPr>
          <w:lang w:val="en-GB"/>
        </w:rPr>
        <w:t xml:space="preserve"> </w:t>
      </w:r>
      <w:r w:rsidRPr="003350AA">
        <w:rPr>
          <w:lang w:val="en-GB"/>
        </w:rPr>
        <w:t>value and momentum factors are negatively correlated in any given country</w:t>
      </w:r>
    </w:p>
    <w:p w14:paraId="23B0255E" w14:textId="0B7CA821" w:rsidR="003350AA" w:rsidRDefault="003350AA" w:rsidP="004C5199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Third, correlation between the value factor in one country and the momentum factor in </w:t>
      </w:r>
      <w:r w:rsidR="004C5199">
        <w:rPr>
          <w:lang w:val="en-GB"/>
        </w:rPr>
        <w:t>another</w:t>
      </w:r>
      <w:r>
        <w:rPr>
          <w:lang w:val="en-GB"/>
        </w:rPr>
        <w:t xml:space="preserve"> </w:t>
      </w:r>
      <w:r w:rsidR="004C5199">
        <w:rPr>
          <w:lang w:val="en-GB"/>
        </w:rPr>
        <w:t>country</w:t>
      </w:r>
      <w:r>
        <w:rPr>
          <w:lang w:val="en-GB"/>
        </w:rPr>
        <w:t xml:space="preserve">. </w:t>
      </w:r>
      <w:r w:rsidR="004C5199">
        <w:rPr>
          <w:lang w:val="en-GB"/>
        </w:rPr>
        <w:t xml:space="preserve">This is useful for quantifying diversification benefits of international value and momentum strategies. </w:t>
      </w:r>
      <w:r w:rsidR="004C5199" w:rsidRPr="004C5199">
        <w:rPr>
          <w:lang w:val="en-GB"/>
        </w:rPr>
        <w:t>The economic issue here is whether investors could pursue value and</w:t>
      </w:r>
      <w:r w:rsidR="004C5199">
        <w:rPr>
          <w:lang w:val="en-GB"/>
        </w:rPr>
        <w:t xml:space="preserve"> </w:t>
      </w:r>
      <w:r w:rsidR="004C5199" w:rsidRPr="004C5199">
        <w:rPr>
          <w:lang w:val="en-GB"/>
        </w:rPr>
        <w:t>momentum returns in different countries, and, yet still enjoy portfolio diversificatio</w:t>
      </w:r>
      <w:r w:rsidR="004C5199">
        <w:rPr>
          <w:lang w:val="en-GB"/>
        </w:rPr>
        <w:t xml:space="preserve">n. </w:t>
      </w:r>
      <w:r w:rsidR="00487F04">
        <w:rPr>
          <w:lang w:val="en-GB"/>
        </w:rPr>
        <w:t>They</w:t>
      </w:r>
      <w:r w:rsidR="004C5199">
        <w:rPr>
          <w:lang w:val="en-GB"/>
        </w:rPr>
        <w:t xml:space="preserve"> </w:t>
      </w:r>
      <w:r w:rsidR="004C5199" w:rsidRPr="004C5199">
        <w:rPr>
          <w:lang w:val="en-GB"/>
        </w:rPr>
        <w:t>find that a majority of intercountry correlations between value and momentum factors are</w:t>
      </w:r>
      <w:r w:rsidR="004C5199">
        <w:rPr>
          <w:lang w:val="en-GB"/>
        </w:rPr>
        <w:t xml:space="preserve"> </w:t>
      </w:r>
      <w:r w:rsidR="004C5199" w:rsidRPr="004C5199">
        <w:rPr>
          <w:lang w:val="en-GB"/>
        </w:rPr>
        <w:t>statistically significant and negative</w:t>
      </w:r>
    </w:p>
    <w:p w14:paraId="339E58D6" w14:textId="3F74E31B" w:rsidR="004C5199" w:rsidRPr="00812AD5" w:rsidRDefault="00812AD5" w:rsidP="00812AD5">
      <w:pPr>
        <w:pStyle w:val="Paragraphedeliste"/>
        <w:numPr>
          <w:ilvl w:val="0"/>
          <w:numId w:val="1"/>
        </w:numPr>
        <w:rPr>
          <w:lang w:val="en-GB"/>
        </w:rPr>
      </w:pPr>
      <w:r w:rsidRPr="00812AD5">
        <w:rPr>
          <w:lang w:val="en-GB"/>
        </w:rPr>
        <w:t xml:space="preserve">Fourth, </w:t>
      </w:r>
      <w:r w:rsidR="00487F04">
        <w:rPr>
          <w:lang w:val="en-GB"/>
        </w:rPr>
        <w:t>they</w:t>
      </w:r>
      <w:r w:rsidRPr="00812AD5">
        <w:rPr>
          <w:lang w:val="en-GB"/>
        </w:rPr>
        <w:t xml:space="preserve"> explore if country value and momentum returns generate significant and positive</w:t>
      </w:r>
      <w:r w:rsidRPr="00812AD5">
        <w:rPr>
          <w:lang w:val="en-GB"/>
        </w:rPr>
        <w:cr/>
        <w:t>abnormal returns with respect to the Capital Asset Pricing model (CAPM).</w:t>
      </w:r>
      <w:r>
        <w:rPr>
          <w:lang w:val="en-GB"/>
        </w:rPr>
        <w:t xml:space="preserve"> </w:t>
      </w:r>
      <w:r w:rsidRPr="00812AD5">
        <w:rPr>
          <w:lang w:val="en-GB"/>
        </w:rPr>
        <w:t xml:space="preserve">Fourth, </w:t>
      </w:r>
      <w:r w:rsidR="00487F04">
        <w:rPr>
          <w:lang w:val="en-GB"/>
        </w:rPr>
        <w:t>they</w:t>
      </w:r>
      <w:r>
        <w:rPr>
          <w:lang w:val="en-GB"/>
        </w:rPr>
        <w:t xml:space="preserve"> </w:t>
      </w:r>
      <w:r w:rsidRPr="00812AD5">
        <w:rPr>
          <w:lang w:val="en-GB"/>
        </w:rPr>
        <w:t xml:space="preserve">explore if country value and momentum returns </w:t>
      </w:r>
      <w:r w:rsidRPr="00487F04">
        <w:rPr>
          <w:lang w:val="en-GB"/>
        </w:rPr>
        <w:t>generate</w:t>
      </w:r>
      <w:r w:rsidRPr="00812AD5">
        <w:rPr>
          <w:lang w:val="en-GB"/>
        </w:rPr>
        <w:t xml:space="preserve"> significant and positive</w:t>
      </w:r>
      <w:r>
        <w:rPr>
          <w:lang w:val="en-GB"/>
        </w:rPr>
        <w:t xml:space="preserve"> </w:t>
      </w:r>
      <w:r w:rsidRPr="00812AD5">
        <w:rPr>
          <w:lang w:val="en-GB"/>
        </w:rPr>
        <w:t>abnormal returns with respect to the Capital Asset Pricing model (CAPM).</w:t>
      </w:r>
    </w:p>
    <w:p w14:paraId="7826F195" w14:textId="42868861" w:rsidR="0077513E" w:rsidRDefault="00E05CE1" w:rsidP="009C21DF">
      <w:pPr>
        <w:rPr>
          <w:lang w:val="en-GB"/>
        </w:rPr>
      </w:pPr>
      <w:r>
        <w:rPr>
          <w:lang w:val="en-GB"/>
        </w:rPr>
        <w:t>Data:</w:t>
      </w:r>
      <w:r w:rsidR="0077513E">
        <w:rPr>
          <w:lang w:val="en-GB"/>
        </w:rPr>
        <w:t xml:space="preserve"> </w:t>
      </w:r>
      <w:r w:rsidR="0077513E" w:rsidRPr="0077513E">
        <w:rPr>
          <w:lang w:val="en-GB"/>
        </w:rPr>
        <w:t>firm</w:t>
      </w:r>
      <w:r w:rsidR="00A953D2">
        <w:rPr>
          <w:lang w:val="en-GB"/>
        </w:rPr>
        <w:t xml:space="preserve"> </w:t>
      </w:r>
      <w:r w:rsidR="0077513E" w:rsidRPr="0077513E">
        <w:rPr>
          <w:lang w:val="en-GB"/>
        </w:rPr>
        <w:t>monthly return data from January 1990 to March 2012</w:t>
      </w:r>
      <w:r>
        <w:rPr>
          <w:lang w:val="en-GB"/>
        </w:rPr>
        <w:t xml:space="preserve"> but to form the momentum factors, one year is lost, therefore </w:t>
      </w:r>
      <w:r w:rsidR="00C62FED">
        <w:rPr>
          <w:lang w:val="en-GB"/>
        </w:rPr>
        <w:t>the value and momentum returns start from January 1991.</w:t>
      </w:r>
    </w:p>
    <w:p w14:paraId="2F4B7EFE" w14:textId="771DDB2C" w:rsidR="00796E4C" w:rsidRDefault="00796E4C" w:rsidP="00796E4C">
      <w:pPr>
        <w:rPr>
          <w:lang w:val="en-GB"/>
        </w:rPr>
      </w:pPr>
      <w:r>
        <w:rPr>
          <w:lang w:val="en-GB"/>
        </w:rPr>
        <w:t xml:space="preserve">Total of 14 525 firms. </w:t>
      </w:r>
      <w:r w:rsidRPr="00796E4C">
        <w:rPr>
          <w:lang w:val="en-GB"/>
        </w:rPr>
        <w:t xml:space="preserve">These numbers suggest that </w:t>
      </w:r>
      <w:r w:rsidR="00487F04">
        <w:rPr>
          <w:lang w:val="en-GB"/>
        </w:rPr>
        <w:t>their</w:t>
      </w:r>
      <w:r w:rsidRPr="00796E4C">
        <w:rPr>
          <w:lang w:val="en-GB"/>
        </w:rPr>
        <w:t xml:space="preserve"> data set has comprehensive coverage in the developed</w:t>
      </w:r>
      <w:r>
        <w:rPr>
          <w:lang w:val="en-GB"/>
        </w:rPr>
        <w:t xml:space="preserve"> </w:t>
      </w:r>
      <w:r w:rsidRPr="00796E4C">
        <w:rPr>
          <w:lang w:val="en-GB"/>
        </w:rPr>
        <w:t>economies of the world</w:t>
      </w:r>
    </w:p>
    <w:p w14:paraId="72907D01" w14:textId="347847AF" w:rsidR="00796E4C" w:rsidRDefault="00796E4C" w:rsidP="00796E4C">
      <w:pPr>
        <w:rPr>
          <w:lang w:val="en-GB"/>
        </w:rPr>
      </w:pPr>
      <w:r>
        <w:rPr>
          <w:lang w:val="en-GB"/>
        </w:rPr>
        <w:t>GDP of all countries</w:t>
      </w:r>
    </w:p>
    <w:p w14:paraId="0562E41D" w14:textId="16668A87" w:rsidR="00740DCA" w:rsidRDefault="0031539E" w:rsidP="00740DCA">
      <w:pPr>
        <w:rPr>
          <w:lang w:val="en-GB"/>
        </w:rPr>
      </w:pPr>
      <w:r>
        <w:rPr>
          <w:lang w:val="en-GB"/>
        </w:rPr>
        <w:t>Liquidity</w:t>
      </w:r>
      <w:r w:rsidR="00740DCA">
        <w:rPr>
          <w:lang w:val="en-GB"/>
        </w:rPr>
        <w:t xml:space="preserve"> </w:t>
      </w:r>
      <w:r>
        <w:rPr>
          <w:lang w:val="en-GB"/>
        </w:rPr>
        <w:t>variables:</w:t>
      </w:r>
      <w:r w:rsidR="00740DCA">
        <w:rPr>
          <w:lang w:val="en-GB"/>
        </w:rPr>
        <w:t xml:space="preserve"> VIX, LIBOR rate, US TED spread (</w:t>
      </w:r>
      <w:r w:rsidR="00740DCA" w:rsidRPr="00740DCA">
        <w:rPr>
          <w:lang w:val="en-GB"/>
        </w:rPr>
        <w:t>difference between the LIBOR rate and the 3-Month U.S. Treasury</w:t>
      </w:r>
      <w:r w:rsidR="00740DCA">
        <w:rPr>
          <w:lang w:val="en-GB"/>
        </w:rPr>
        <w:t xml:space="preserve"> </w:t>
      </w:r>
      <w:r w:rsidR="00740DCA" w:rsidRPr="00740DCA">
        <w:rPr>
          <w:lang w:val="en-GB"/>
        </w:rPr>
        <w:t>Constant Maturity Rat</w:t>
      </w:r>
      <w:r w:rsidR="00740DCA">
        <w:rPr>
          <w:lang w:val="en-GB"/>
        </w:rPr>
        <w:t xml:space="preserve">e) and the average interbank rate for the G7 countries. </w:t>
      </w:r>
    </w:p>
    <w:p w14:paraId="0BE66034" w14:textId="02B85213" w:rsidR="0031539E" w:rsidRPr="0031539E" w:rsidRDefault="0031539E" w:rsidP="0031539E">
      <w:pPr>
        <w:autoSpaceDE w:val="0"/>
        <w:autoSpaceDN w:val="0"/>
        <w:adjustRightInd w:val="0"/>
        <w:spacing w:after="0" w:line="240" w:lineRule="auto"/>
        <w:rPr>
          <w:lang w:val="en-GB"/>
        </w:rPr>
      </w:pPr>
      <w:r>
        <w:rPr>
          <w:lang w:val="en-GB"/>
        </w:rPr>
        <w:t xml:space="preserve">Credit risk variables: the </w:t>
      </w:r>
      <w:proofErr w:type="spellStart"/>
      <w:r>
        <w:rPr>
          <w:lang w:val="en-GB"/>
        </w:rPr>
        <w:t>Aaa</w:t>
      </w:r>
      <w:proofErr w:type="spellEnd"/>
      <w:r>
        <w:rPr>
          <w:lang w:val="en-GB"/>
        </w:rPr>
        <w:t xml:space="preserve"> </w:t>
      </w:r>
      <w:r w:rsidRPr="0031539E">
        <w:rPr>
          <w:lang w:val="en-GB"/>
        </w:rPr>
        <w:t>minus the 10-year constant maturity U.S. Treasury rate</w:t>
      </w:r>
      <w:r w:rsidRPr="0031539E">
        <w:rPr>
          <w:lang w:val="en-GB"/>
        </w:rPr>
        <w:t xml:space="preserve"> </w:t>
      </w:r>
      <w:r w:rsidRPr="0031539E">
        <w:rPr>
          <w:lang w:val="en-GB"/>
        </w:rPr>
        <w:t>and the Baa (</w:t>
      </w:r>
      <w:r w:rsidRPr="0031539E">
        <w:rPr>
          <w:lang w:val="en-GB"/>
        </w:rPr>
        <w:t>Moody’s</w:t>
      </w:r>
      <w:r>
        <w:rPr>
          <w:lang w:val="en-GB"/>
        </w:rPr>
        <w:t xml:space="preserve"> </w:t>
      </w:r>
      <w:r w:rsidRPr="0031539E">
        <w:rPr>
          <w:lang w:val="en-GB"/>
        </w:rPr>
        <w:t>Seasoned Baa Corporate Bond Yield) minus the 10-year constant maturity U.S. Treasury</w:t>
      </w:r>
    </w:p>
    <w:p w14:paraId="21332574" w14:textId="4DD0C2B4" w:rsidR="0031539E" w:rsidRDefault="0031539E" w:rsidP="0031539E">
      <w:pPr>
        <w:rPr>
          <w:lang w:val="en-GB"/>
        </w:rPr>
      </w:pPr>
      <w:r w:rsidRPr="0031539E">
        <w:rPr>
          <w:lang w:val="en-GB"/>
        </w:rPr>
        <w:t>R</w:t>
      </w:r>
      <w:r w:rsidRPr="0031539E">
        <w:rPr>
          <w:lang w:val="en-GB"/>
        </w:rPr>
        <w:t>ate</w:t>
      </w:r>
    </w:p>
    <w:p w14:paraId="2186F30A" w14:textId="6EFA2E96" w:rsidR="0031539E" w:rsidRDefault="005650D6" w:rsidP="005650D6">
      <w:pPr>
        <w:rPr>
          <w:lang w:val="en-GB"/>
        </w:rPr>
      </w:pPr>
      <w:r>
        <w:rPr>
          <w:lang w:val="en-GB"/>
        </w:rPr>
        <w:t xml:space="preserve">Asset pricing factors: </w:t>
      </w:r>
      <w:r w:rsidR="00487F04">
        <w:rPr>
          <w:lang w:val="en-GB"/>
        </w:rPr>
        <w:t>They</w:t>
      </w:r>
      <w:r w:rsidRPr="005650D6">
        <w:rPr>
          <w:lang w:val="en-GB"/>
        </w:rPr>
        <w:t xml:space="preserve"> calculate the following four asset pricing factors for each of the 23 developed countries:</w:t>
      </w:r>
      <w:r>
        <w:rPr>
          <w:lang w:val="en-GB"/>
        </w:rPr>
        <w:t xml:space="preserve"> </w:t>
      </w:r>
      <w:r w:rsidRPr="005650D6">
        <w:rPr>
          <w:lang w:val="en-GB"/>
        </w:rPr>
        <w:t>the market factor, the SMB (small minus big) factor, the HML (high minus low)</w:t>
      </w:r>
      <w:r>
        <w:rPr>
          <w:lang w:val="en-GB"/>
        </w:rPr>
        <w:t xml:space="preserve"> </w:t>
      </w:r>
      <w:r w:rsidRPr="005650D6">
        <w:rPr>
          <w:lang w:val="en-GB"/>
        </w:rPr>
        <w:t>factor, and</w:t>
      </w:r>
      <w:r>
        <w:rPr>
          <w:lang w:val="en-GB"/>
        </w:rPr>
        <w:t xml:space="preserve"> </w:t>
      </w:r>
      <w:r w:rsidRPr="005650D6">
        <w:rPr>
          <w:lang w:val="en-GB"/>
        </w:rPr>
        <w:t>the momentum (WML) factor</w:t>
      </w:r>
    </w:p>
    <w:p w14:paraId="5885DC28" w14:textId="4CE59096" w:rsidR="0031539E" w:rsidRDefault="00487F04" w:rsidP="005650D6">
      <w:pPr>
        <w:rPr>
          <w:lang w:val="en-GB"/>
        </w:rPr>
      </w:pPr>
      <w:r>
        <w:rPr>
          <w:lang w:val="en-GB"/>
        </w:rPr>
        <w:t>They</w:t>
      </w:r>
      <w:r w:rsidR="005650D6" w:rsidRPr="005650D6">
        <w:rPr>
          <w:lang w:val="en-GB"/>
        </w:rPr>
        <w:t xml:space="preserve"> form </w:t>
      </w:r>
      <w:r>
        <w:rPr>
          <w:lang w:val="en-GB"/>
        </w:rPr>
        <w:t>their</w:t>
      </w:r>
      <w:r w:rsidR="005650D6" w:rsidRPr="005650D6">
        <w:rPr>
          <w:lang w:val="en-GB"/>
        </w:rPr>
        <w:t xml:space="preserve"> portfolios monthly. For all countries, the market factor is simply the</w:t>
      </w:r>
      <w:r w:rsidR="005650D6">
        <w:rPr>
          <w:lang w:val="en-GB"/>
        </w:rPr>
        <w:t xml:space="preserve"> </w:t>
      </w:r>
      <w:r w:rsidR="005650D6" w:rsidRPr="005650D6">
        <w:rPr>
          <w:lang w:val="en-GB"/>
        </w:rPr>
        <w:t>value-weighted average of all stock returns in the country.</w:t>
      </w:r>
      <w:r w:rsidR="005650D6">
        <w:rPr>
          <w:lang w:val="en-GB"/>
        </w:rPr>
        <w:t xml:space="preserve"> </w:t>
      </w:r>
      <w:r w:rsidR="005650D6" w:rsidRPr="005650D6">
        <w:rPr>
          <w:lang w:val="en-GB"/>
        </w:rPr>
        <w:t xml:space="preserve">For each country, </w:t>
      </w:r>
      <w:r>
        <w:rPr>
          <w:lang w:val="en-GB"/>
        </w:rPr>
        <w:t>they</w:t>
      </w:r>
      <w:r w:rsidR="005650D6" w:rsidRPr="005650D6">
        <w:rPr>
          <w:lang w:val="en-GB"/>
        </w:rPr>
        <w:t xml:space="preserve"> form six portfolios to calculate the SMB and HML factors</w:t>
      </w:r>
    </w:p>
    <w:p w14:paraId="158B6DE9" w14:textId="2104304E" w:rsidR="00F96096" w:rsidRDefault="00F96096" w:rsidP="005650D6">
      <w:pPr>
        <w:rPr>
          <w:lang w:val="en-GB"/>
        </w:rPr>
      </w:pPr>
    </w:p>
    <w:p w14:paraId="38BDDDB4" w14:textId="3ED8F5FD" w:rsidR="00F96096" w:rsidRDefault="00F96096" w:rsidP="005650D6">
      <w:pPr>
        <w:rPr>
          <w:lang w:val="en-GB"/>
        </w:rPr>
      </w:pPr>
      <w:r>
        <w:rPr>
          <w:lang w:val="en-GB"/>
        </w:rPr>
        <w:t xml:space="preserve">Six value weighted portfolios </w:t>
      </w:r>
    </w:p>
    <w:p w14:paraId="2461CBDF" w14:textId="7EC2C7F7" w:rsidR="00F96096" w:rsidRDefault="00F96096" w:rsidP="00F96096">
      <w:pPr>
        <w:rPr>
          <w:lang w:val="en-GB"/>
        </w:rPr>
      </w:pPr>
      <w:r w:rsidRPr="00F96096">
        <w:rPr>
          <w:lang w:val="en-GB"/>
        </w:rPr>
        <w:lastRenderedPageBreak/>
        <w:t>The size factor, SMB, is the equal-weighted average of the returns on the three small stock</w:t>
      </w:r>
      <w:r>
        <w:rPr>
          <w:lang w:val="en-GB"/>
        </w:rPr>
        <w:t xml:space="preserve"> </w:t>
      </w:r>
      <w:r w:rsidRPr="00F96096">
        <w:rPr>
          <w:lang w:val="en-GB"/>
        </w:rPr>
        <w:t>portfolios (Small) minus the average of the returns on the three big stock portfolios (Big).</w:t>
      </w:r>
    </w:p>
    <w:p w14:paraId="1E12C7F5" w14:textId="77777777" w:rsidR="00F96096" w:rsidRPr="00F96096" w:rsidRDefault="00F96096" w:rsidP="00F96096">
      <w:pPr>
        <w:rPr>
          <w:lang w:val="en-GB"/>
        </w:rPr>
      </w:pPr>
    </w:p>
    <w:p w14:paraId="117E47BE" w14:textId="2645BC96" w:rsidR="00F96096" w:rsidRDefault="00487F04" w:rsidP="00F96096">
      <w:pPr>
        <w:rPr>
          <w:lang w:val="en-GB"/>
        </w:rPr>
      </w:pPr>
      <w:r>
        <w:rPr>
          <w:lang w:val="en-GB"/>
        </w:rPr>
        <w:t>They</w:t>
      </w:r>
      <w:r w:rsidR="00F96096" w:rsidRPr="00F96096">
        <w:rPr>
          <w:lang w:val="en-GB"/>
        </w:rPr>
        <w:t xml:space="preserve"> construct value minus growth returns for small and big stocks, HM</w:t>
      </w:r>
      <w:r w:rsidR="00F96096">
        <w:rPr>
          <w:lang w:val="en-GB"/>
        </w:rPr>
        <w:t>Ls</w:t>
      </w:r>
      <w:r w:rsidR="00F96096" w:rsidRPr="00F96096">
        <w:rPr>
          <w:lang w:val="en-GB"/>
        </w:rPr>
        <w:t>= SV</w:t>
      </w:r>
      <w:r w:rsidR="00F96096">
        <w:rPr>
          <w:lang w:val="en-GB"/>
        </w:rPr>
        <w:t xml:space="preserve"> - </w:t>
      </w:r>
      <w:r w:rsidR="00F96096" w:rsidRPr="00F96096">
        <w:rPr>
          <w:lang w:val="en-GB"/>
        </w:rPr>
        <w:t>SG and</w:t>
      </w:r>
      <w:r w:rsidR="00F96096">
        <w:rPr>
          <w:lang w:val="en-GB"/>
        </w:rPr>
        <w:t xml:space="preserve"> </w:t>
      </w:r>
      <w:proofErr w:type="spellStart"/>
      <w:r w:rsidR="00F96096" w:rsidRPr="00F96096">
        <w:rPr>
          <w:lang w:val="en-GB"/>
        </w:rPr>
        <w:t>HM</w:t>
      </w:r>
      <w:r w:rsidR="00F96096">
        <w:rPr>
          <w:lang w:val="en-GB"/>
        </w:rPr>
        <w:t>Lb</w:t>
      </w:r>
      <w:proofErr w:type="spellEnd"/>
      <w:r w:rsidR="00F96096">
        <w:rPr>
          <w:lang w:val="en-GB"/>
        </w:rPr>
        <w:t xml:space="preserve"> = BV – BG </w:t>
      </w:r>
      <w:r w:rsidR="00F96096" w:rsidRPr="00F96096">
        <w:rPr>
          <w:lang w:val="en-GB"/>
        </w:rPr>
        <w:t>with HML being the equal-weighted average of HM</w:t>
      </w:r>
      <w:r w:rsidR="00F96096">
        <w:rPr>
          <w:lang w:val="en-GB"/>
        </w:rPr>
        <w:t xml:space="preserve">Ls and </w:t>
      </w:r>
      <w:proofErr w:type="spellStart"/>
      <w:r w:rsidR="00F96096">
        <w:rPr>
          <w:lang w:val="en-GB"/>
        </w:rPr>
        <w:t>HMLb</w:t>
      </w:r>
      <w:proofErr w:type="spellEnd"/>
    </w:p>
    <w:p w14:paraId="5C609697" w14:textId="007DFF5E" w:rsidR="00B02D9D" w:rsidRDefault="00B02D9D" w:rsidP="00F96096">
      <w:pPr>
        <w:rPr>
          <w:lang w:val="en-GB"/>
        </w:rPr>
      </w:pPr>
    </w:p>
    <w:p w14:paraId="7CBA6AD3" w14:textId="030FE833" w:rsidR="00B02D9D" w:rsidRDefault="00B02D9D" w:rsidP="00F96096">
      <w:pPr>
        <w:rPr>
          <w:lang w:val="en-GB"/>
        </w:rPr>
      </w:pPr>
      <w:r>
        <w:rPr>
          <w:lang w:val="en-GB"/>
        </w:rPr>
        <w:t>Results:</w:t>
      </w:r>
    </w:p>
    <w:p w14:paraId="1E530969" w14:textId="6DD27796" w:rsidR="00B02D9D" w:rsidRDefault="00B02D9D" w:rsidP="00B02D9D">
      <w:pPr>
        <w:rPr>
          <w:lang w:val="en-GB"/>
        </w:rPr>
      </w:pPr>
      <w:r w:rsidRPr="00B02D9D">
        <w:rPr>
          <w:lang w:val="en-GB"/>
        </w:rPr>
        <w:t xml:space="preserve">These findings are consistent with </w:t>
      </w:r>
      <w:proofErr w:type="spellStart"/>
      <w:r w:rsidRPr="00B02D9D">
        <w:rPr>
          <w:lang w:val="en-GB"/>
        </w:rPr>
        <w:t>Fama</w:t>
      </w:r>
      <w:proofErr w:type="spellEnd"/>
      <w:r w:rsidRPr="00B02D9D">
        <w:rPr>
          <w:lang w:val="en-GB"/>
        </w:rPr>
        <w:t xml:space="preserve"> and</w:t>
      </w:r>
      <w:r>
        <w:rPr>
          <w:lang w:val="en-GB"/>
        </w:rPr>
        <w:t xml:space="preserve"> </w:t>
      </w:r>
      <w:r w:rsidRPr="00B02D9D">
        <w:rPr>
          <w:lang w:val="en-GB"/>
        </w:rPr>
        <w:t>French (2012) who report insignificant size premia by grouping same countries into four</w:t>
      </w:r>
      <w:r>
        <w:rPr>
          <w:lang w:val="en-GB"/>
        </w:rPr>
        <w:t xml:space="preserve"> </w:t>
      </w:r>
      <w:r w:rsidRPr="00B02D9D">
        <w:rPr>
          <w:lang w:val="en-GB"/>
        </w:rPr>
        <w:t>regions: North America, Asia Pacific, Japan, and Europe</w:t>
      </w:r>
      <w:r>
        <w:rPr>
          <w:lang w:val="en-GB"/>
        </w:rPr>
        <w:t>.</w:t>
      </w:r>
    </w:p>
    <w:p w14:paraId="3E42B47F" w14:textId="5BFBCF72" w:rsidR="00077C4A" w:rsidRDefault="00077C4A" w:rsidP="00077C4A">
      <w:pPr>
        <w:rPr>
          <w:lang w:val="en-GB"/>
        </w:rPr>
      </w:pPr>
      <w:r w:rsidRPr="00077C4A">
        <w:rPr>
          <w:lang w:val="en-GB"/>
        </w:rPr>
        <w:t>In all countries except Spain and</w:t>
      </w:r>
      <w:r>
        <w:rPr>
          <w:lang w:val="en-GB"/>
        </w:rPr>
        <w:t xml:space="preserve"> </w:t>
      </w:r>
      <w:r w:rsidRPr="00077C4A">
        <w:rPr>
          <w:lang w:val="en-GB"/>
        </w:rPr>
        <w:t>the Netherlands, small stock value premia point estimates are larger than the big stock</w:t>
      </w:r>
      <w:r>
        <w:rPr>
          <w:lang w:val="en-GB"/>
        </w:rPr>
        <w:t xml:space="preserve"> </w:t>
      </w:r>
      <w:r w:rsidRPr="00077C4A">
        <w:rPr>
          <w:lang w:val="en-GB"/>
        </w:rPr>
        <w:t>value premia</w:t>
      </w:r>
    </w:p>
    <w:p w14:paraId="665236A2" w14:textId="42C43DC7" w:rsidR="00077C4A" w:rsidRDefault="00077C4A" w:rsidP="00B9064D">
      <w:pPr>
        <w:rPr>
          <w:lang w:val="en-GB"/>
        </w:rPr>
      </w:pPr>
      <w:r w:rsidRPr="00077C4A">
        <w:rPr>
          <w:lang w:val="en-GB"/>
        </w:rPr>
        <w:t>An overwhelming majority of European countries exhibit small stock momentum</w:t>
      </w:r>
      <w:r>
        <w:rPr>
          <w:lang w:val="en-GB"/>
        </w:rPr>
        <w:t xml:space="preserve"> </w:t>
      </w:r>
      <w:r w:rsidRPr="00077C4A">
        <w:rPr>
          <w:lang w:val="en-GB"/>
        </w:rPr>
        <w:t>premia but not big stock momentum premia</w:t>
      </w:r>
      <w:r w:rsidR="00B9064D">
        <w:rPr>
          <w:lang w:val="en-GB"/>
        </w:rPr>
        <w:t xml:space="preserve">. </w:t>
      </w:r>
      <w:r w:rsidR="00B9064D" w:rsidRPr="00B9064D">
        <w:rPr>
          <w:lang w:val="en-GB"/>
        </w:rPr>
        <w:t>In four of the 16 European countries (Austria, Belgium, Germany, the U.K.), small stock</w:t>
      </w:r>
      <w:r w:rsidR="00B9064D">
        <w:rPr>
          <w:lang w:val="en-GB"/>
        </w:rPr>
        <w:t xml:space="preserve"> </w:t>
      </w:r>
      <w:r w:rsidR="00B9064D" w:rsidRPr="00B9064D">
        <w:rPr>
          <w:lang w:val="en-GB"/>
        </w:rPr>
        <w:t>momentum premia are significantly higher than big stock momentum premia</w:t>
      </w:r>
      <w:r w:rsidR="00B9064D">
        <w:rPr>
          <w:lang w:val="en-GB"/>
        </w:rPr>
        <w:t xml:space="preserve">. </w:t>
      </w:r>
      <w:r w:rsidR="00B9064D" w:rsidRPr="00B9064D">
        <w:rPr>
          <w:lang w:val="en-GB"/>
        </w:rPr>
        <w:t>Australia and New Zealand also have statistically significantl</w:t>
      </w:r>
      <w:r w:rsidR="00B9064D">
        <w:rPr>
          <w:lang w:val="en-GB"/>
        </w:rPr>
        <w:t xml:space="preserve">y </w:t>
      </w:r>
      <w:r w:rsidR="00B9064D" w:rsidRPr="00B9064D">
        <w:rPr>
          <w:lang w:val="en-GB"/>
        </w:rPr>
        <w:t>higher small stock momentum premia.</w:t>
      </w:r>
    </w:p>
    <w:p w14:paraId="7D82D042" w14:textId="01C7746E" w:rsidR="00B9064D" w:rsidRDefault="00B9064D" w:rsidP="00B9064D">
      <w:pPr>
        <w:rPr>
          <w:lang w:val="en-GB"/>
        </w:rPr>
      </w:pPr>
      <w:r w:rsidRPr="00B9064D">
        <w:rPr>
          <w:lang w:val="en-GB"/>
        </w:rPr>
        <w:t>Our</w:t>
      </w:r>
      <w:r>
        <w:rPr>
          <w:lang w:val="en-GB"/>
        </w:rPr>
        <w:t xml:space="preserve"> </w:t>
      </w:r>
      <w:r w:rsidRPr="00B9064D">
        <w:rPr>
          <w:lang w:val="en-GB"/>
        </w:rPr>
        <w:t xml:space="preserve">results </w:t>
      </w:r>
      <w:r>
        <w:rPr>
          <w:lang w:val="en-GB"/>
        </w:rPr>
        <w:t>suggest</w:t>
      </w:r>
      <w:r w:rsidRPr="00B9064D">
        <w:rPr>
          <w:lang w:val="en-GB"/>
        </w:rPr>
        <w:t xml:space="preserve"> that Australia and New Zealand in the Asia</w:t>
      </w:r>
      <w:r>
        <w:rPr>
          <w:lang w:val="en-GB"/>
        </w:rPr>
        <w:t xml:space="preserve"> </w:t>
      </w:r>
      <w:r w:rsidRPr="00B9064D">
        <w:rPr>
          <w:lang w:val="en-GB"/>
        </w:rPr>
        <w:t>Pacific region or Austria, Belgium, Germany, and the U.K. in Europe may be driving th</w:t>
      </w:r>
      <w:r>
        <w:rPr>
          <w:lang w:val="en-GB"/>
        </w:rPr>
        <w:t xml:space="preserve">e </w:t>
      </w:r>
      <w:r w:rsidRPr="00B9064D">
        <w:rPr>
          <w:lang w:val="en-GB"/>
        </w:rPr>
        <w:t>results for the regions.</w:t>
      </w:r>
    </w:p>
    <w:p w14:paraId="7D178566" w14:textId="503CE77F" w:rsidR="00C106E0" w:rsidRDefault="00C106E0" w:rsidP="00B9064D">
      <w:pPr>
        <w:rPr>
          <w:lang w:val="en-GB"/>
        </w:rPr>
      </w:pPr>
    </w:p>
    <w:p w14:paraId="4B89E4A7" w14:textId="06F88D52" w:rsidR="00C106E0" w:rsidRDefault="00C106E0" w:rsidP="00B9064D">
      <w:pPr>
        <w:rPr>
          <w:lang w:val="en-GB"/>
        </w:rPr>
      </w:pPr>
      <w:r>
        <w:rPr>
          <w:lang w:val="en-GB"/>
        </w:rPr>
        <w:t>Correlation</w:t>
      </w:r>
    </w:p>
    <w:p w14:paraId="085242DB" w14:textId="79233865" w:rsidR="00C106E0" w:rsidRDefault="00C106E0" w:rsidP="00C106E0">
      <w:pPr>
        <w:rPr>
          <w:lang w:val="en-GB"/>
        </w:rPr>
      </w:pPr>
      <w:r w:rsidRPr="00C106E0">
        <w:rPr>
          <w:lang w:val="en-GB"/>
        </w:rPr>
        <w:t>In all countries, the correlation point estimates are negative: Value</w:t>
      </w:r>
      <w:r>
        <w:rPr>
          <w:lang w:val="en-GB"/>
        </w:rPr>
        <w:t xml:space="preserve"> </w:t>
      </w:r>
      <w:r w:rsidRPr="00C106E0">
        <w:rPr>
          <w:lang w:val="en-GB"/>
        </w:rPr>
        <w:t>does well when momentum does badly and vice versa</w:t>
      </w:r>
      <w:r>
        <w:rPr>
          <w:lang w:val="en-GB"/>
        </w:rPr>
        <w:t xml:space="preserve">. </w:t>
      </w:r>
      <w:r w:rsidRPr="00C106E0">
        <w:rPr>
          <w:lang w:val="en-GB"/>
        </w:rPr>
        <w:t>The negative correlations suggest that investors can combine value and</w:t>
      </w:r>
      <w:r>
        <w:rPr>
          <w:lang w:val="en-GB"/>
        </w:rPr>
        <w:t xml:space="preserve"> </w:t>
      </w:r>
      <w:r w:rsidRPr="00C106E0">
        <w:rPr>
          <w:lang w:val="en-GB"/>
        </w:rPr>
        <w:t>momentum strategies in their country portfolios to improve the risk return trade-off</w:t>
      </w:r>
      <w:r>
        <w:rPr>
          <w:lang w:val="en-GB"/>
        </w:rPr>
        <w:t xml:space="preserve">. </w:t>
      </w:r>
    </w:p>
    <w:p w14:paraId="5737690F" w14:textId="60F2B6D4" w:rsidR="00C106E0" w:rsidRDefault="00C106E0" w:rsidP="00C106E0">
      <w:pPr>
        <w:rPr>
          <w:lang w:val="en-GB"/>
        </w:rPr>
      </w:pPr>
      <w:r w:rsidRPr="00C106E0">
        <w:rPr>
          <w:lang w:val="en-GB"/>
        </w:rPr>
        <w:t>At a simple level, the implication of combining value and momentum strategies fo</w:t>
      </w:r>
      <w:r>
        <w:rPr>
          <w:lang w:val="en-GB"/>
        </w:rPr>
        <w:t xml:space="preserve">r </w:t>
      </w:r>
      <w:r w:rsidRPr="00C106E0">
        <w:rPr>
          <w:lang w:val="en-GB"/>
        </w:rPr>
        <w:t>investors would</w:t>
      </w:r>
      <w:r>
        <w:rPr>
          <w:lang w:val="en-GB"/>
        </w:rPr>
        <w:t xml:space="preserve"> </w:t>
      </w:r>
      <w:r w:rsidRPr="00C106E0">
        <w:rPr>
          <w:lang w:val="en-GB"/>
        </w:rPr>
        <w:t>be to remove stocks that became value stocks because of low momentum</w:t>
      </w:r>
      <w:r>
        <w:rPr>
          <w:lang w:val="en-GB"/>
        </w:rPr>
        <w:t xml:space="preserve"> </w:t>
      </w:r>
      <w:r w:rsidRPr="00C106E0">
        <w:rPr>
          <w:lang w:val="en-GB"/>
        </w:rPr>
        <w:t>from the long positions in high B/M stocks and to remove stocks with high momentum from</w:t>
      </w:r>
      <w:r>
        <w:rPr>
          <w:lang w:val="en-GB"/>
        </w:rPr>
        <w:t xml:space="preserve"> </w:t>
      </w:r>
      <w:r w:rsidRPr="00C106E0">
        <w:rPr>
          <w:lang w:val="en-GB"/>
        </w:rPr>
        <w:t>the short position in low B/M stocks</w:t>
      </w:r>
      <w:r>
        <w:rPr>
          <w:lang w:val="en-GB"/>
        </w:rPr>
        <w:t>.</w:t>
      </w:r>
    </w:p>
    <w:p w14:paraId="5A5CC3BF" w14:textId="28D1AD6C" w:rsidR="00FC6BB9" w:rsidRDefault="00FC6BB9" w:rsidP="00FC6BB9">
      <w:pPr>
        <w:rPr>
          <w:lang w:val="en-GB"/>
        </w:rPr>
      </w:pPr>
      <w:r w:rsidRPr="00FC6BB9">
        <w:rPr>
          <w:lang w:val="en-GB"/>
        </w:rPr>
        <w:t>The implication for investors</w:t>
      </w:r>
      <w:r>
        <w:rPr>
          <w:lang w:val="en-GB"/>
        </w:rPr>
        <w:t xml:space="preserve"> </w:t>
      </w:r>
      <w:r w:rsidRPr="00FC6BB9">
        <w:rPr>
          <w:lang w:val="en-GB"/>
        </w:rPr>
        <w:t>is that smaller big stock value and momentum premia can be offset by lower transaction costs</w:t>
      </w:r>
      <w:r>
        <w:rPr>
          <w:lang w:val="en-GB"/>
        </w:rPr>
        <w:t xml:space="preserve"> </w:t>
      </w:r>
      <w:r w:rsidRPr="00FC6BB9">
        <w:rPr>
          <w:lang w:val="en-GB"/>
        </w:rPr>
        <w:t>and more negative correlations relative to the small stocks.</w:t>
      </w:r>
    </w:p>
    <w:p w14:paraId="0EF6BE7C" w14:textId="6E89C419" w:rsidR="00FC6BB9" w:rsidRDefault="00FC6BB9" w:rsidP="00FC6BB9">
      <w:pPr>
        <w:rPr>
          <w:lang w:val="en-GB"/>
        </w:rPr>
      </w:pPr>
      <w:r w:rsidRPr="00FC6BB9">
        <w:rPr>
          <w:lang w:val="en-GB"/>
        </w:rPr>
        <w:t>Due to the negative correlations, combination</w:t>
      </w:r>
      <w:r>
        <w:rPr>
          <w:lang w:val="en-GB"/>
        </w:rPr>
        <w:t xml:space="preserve"> </w:t>
      </w:r>
      <w:r w:rsidRPr="00FC6BB9">
        <w:rPr>
          <w:lang w:val="en-GB"/>
        </w:rPr>
        <w:t>portfolio volatilities are lower.</w:t>
      </w:r>
    </w:p>
    <w:p w14:paraId="3634E4D3" w14:textId="6A541B29" w:rsidR="00AC50E7" w:rsidRDefault="00AC50E7" w:rsidP="00AC50E7">
      <w:pPr>
        <w:rPr>
          <w:lang w:val="en-GB"/>
        </w:rPr>
      </w:pPr>
      <w:r w:rsidRPr="00AC50E7">
        <w:rPr>
          <w:lang w:val="en-GB"/>
        </w:rPr>
        <w:t>if a stock has been doing well over the last year, it is probably included</w:t>
      </w:r>
      <w:r>
        <w:rPr>
          <w:lang w:val="en-GB"/>
        </w:rPr>
        <w:t xml:space="preserve"> </w:t>
      </w:r>
      <w:r w:rsidRPr="00AC50E7">
        <w:rPr>
          <w:lang w:val="en-GB"/>
        </w:rPr>
        <w:t>in a long position in the momentum portfolio and in a short position in the value portfolio</w:t>
      </w:r>
      <w:r>
        <w:rPr>
          <w:lang w:val="en-GB"/>
        </w:rPr>
        <w:t>.</w:t>
      </w:r>
    </w:p>
    <w:p w14:paraId="37A2DD8B" w14:textId="7E19FBAD" w:rsidR="00AC50E7" w:rsidRDefault="00AC50E7" w:rsidP="00AC50E7">
      <w:pPr>
        <w:rPr>
          <w:lang w:val="en-GB"/>
        </w:rPr>
      </w:pPr>
    </w:p>
    <w:p w14:paraId="45D9286A" w14:textId="22E3D5F7" w:rsidR="00AC50E7" w:rsidRDefault="00AC50E7" w:rsidP="00AC50E7">
      <w:pPr>
        <w:rPr>
          <w:lang w:val="en-GB"/>
        </w:rPr>
      </w:pPr>
      <w:r w:rsidRPr="00AC50E7">
        <w:rPr>
          <w:lang w:val="en-GB"/>
        </w:rPr>
        <w:t>These results show</w:t>
      </w:r>
      <w:r>
        <w:rPr>
          <w:lang w:val="en-GB"/>
        </w:rPr>
        <w:t xml:space="preserve"> </w:t>
      </w:r>
      <w:r w:rsidRPr="00AC50E7">
        <w:rPr>
          <w:lang w:val="en-GB"/>
        </w:rPr>
        <w:t>that investors can obtain diversification benefits even when they pursue value and momentum</w:t>
      </w:r>
      <w:r>
        <w:rPr>
          <w:lang w:val="en-GB"/>
        </w:rPr>
        <w:t xml:space="preserve"> </w:t>
      </w:r>
      <w:r w:rsidRPr="00AC50E7">
        <w:rPr>
          <w:lang w:val="en-GB"/>
        </w:rPr>
        <w:t>strategies in different countries, rather than in the same country</w:t>
      </w:r>
      <w:r>
        <w:rPr>
          <w:lang w:val="en-GB"/>
        </w:rPr>
        <w:t xml:space="preserve">. </w:t>
      </w:r>
      <w:r w:rsidRPr="00AC50E7">
        <w:rPr>
          <w:lang w:val="en-GB"/>
        </w:rPr>
        <w:t>The intercountry negative</w:t>
      </w:r>
      <w:r>
        <w:rPr>
          <w:lang w:val="en-GB"/>
        </w:rPr>
        <w:t xml:space="preserve"> </w:t>
      </w:r>
      <w:r w:rsidRPr="00AC50E7">
        <w:rPr>
          <w:lang w:val="en-GB"/>
        </w:rPr>
        <w:t>correlations are an intriguing result, and we conjecture that global liquidity and recession</w:t>
      </w:r>
      <w:r>
        <w:rPr>
          <w:lang w:val="en-GB"/>
        </w:rPr>
        <w:t xml:space="preserve"> </w:t>
      </w:r>
      <w:r w:rsidRPr="00AC50E7">
        <w:rPr>
          <w:lang w:val="en-GB"/>
        </w:rPr>
        <w:t>factors can help explain these correlations.</w:t>
      </w:r>
    </w:p>
    <w:p w14:paraId="199423E6" w14:textId="6331E6C0" w:rsidR="00627FE4" w:rsidRDefault="00627FE4" w:rsidP="00AC50E7">
      <w:pPr>
        <w:rPr>
          <w:lang w:val="en-GB"/>
        </w:rPr>
      </w:pPr>
    </w:p>
    <w:p w14:paraId="2612D54F" w14:textId="01F75002" w:rsidR="008C06EE" w:rsidRDefault="00627FE4" w:rsidP="00627FE4">
      <w:pPr>
        <w:rPr>
          <w:lang w:val="en-GB"/>
        </w:rPr>
      </w:pPr>
      <w:r w:rsidRPr="00627FE4">
        <w:rPr>
          <w:lang w:val="en-GB"/>
        </w:rPr>
        <w:lastRenderedPageBreak/>
        <w:t>The table shows that value and momentum are negatively correlated,</w:t>
      </w:r>
      <w:r>
        <w:rPr>
          <w:lang w:val="en-GB"/>
        </w:rPr>
        <w:t xml:space="preserve"> </w:t>
      </w:r>
      <w:r w:rsidRPr="00627FE4">
        <w:rPr>
          <w:lang w:val="en-GB"/>
        </w:rPr>
        <w:t>more so in up markets than in down markets, and more so for large capitalization stocks</w:t>
      </w:r>
      <w:r>
        <w:rPr>
          <w:lang w:val="en-GB"/>
        </w:rPr>
        <w:t xml:space="preserve"> </w:t>
      </w:r>
      <w:r w:rsidRPr="00627FE4">
        <w:rPr>
          <w:lang w:val="en-GB"/>
        </w:rPr>
        <w:t>relative to small</w:t>
      </w:r>
    </w:p>
    <w:p w14:paraId="07C50484" w14:textId="77777777" w:rsidR="008C06EE" w:rsidRDefault="008C06EE" w:rsidP="00627FE4">
      <w:pPr>
        <w:rPr>
          <w:lang w:val="en-GB"/>
        </w:rPr>
      </w:pPr>
    </w:p>
    <w:p w14:paraId="500DBD4D" w14:textId="1CE8BC08" w:rsidR="008C06EE" w:rsidRDefault="008C06EE" w:rsidP="008C06EE">
      <w:pPr>
        <w:rPr>
          <w:lang w:val="en-GB"/>
        </w:rPr>
      </w:pPr>
      <w:r w:rsidRPr="008C06EE">
        <w:rPr>
          <w:lang w:val="en-GB"/>
        </w:rPr>
        <w:t>Comparing the results in Table 7 and Table 8, momentum</w:t>
      </w:r>
      <w:r>
        <w:rPr>
          <w:lang w:val="en-GB"/>
        </w:rPr>
        <w:t xml:space="preserve"> </w:t>
      </w:r>
      <w:r w:rsidRPr="008C06EE">
        <w:rPr>
          <w:lang w:val="en-GB"/>
        </w:rPr>
        <w:t>returns are more highly positively correlated across two countries relative to the value returns.</w:t>
      </w:r>
      <w:r>
        <w:rPr>
          <w:lang w:val="en-GB"/>
        </w:rPr>
        <w:t xml:space="preserve"> </w:t>
      </w:r>
      <w:r w:rsidRPr="008C06EE">
        <w:rPr>
          <w:lang w:val="en-GB"/>
        </w:rPr>
        <w:t>The implication is that international diversification is more easily achieved for value than</w:t>
      </w:r>
      <w:r>
        <w:rPr>
          <w:lang w:val="en-GB"/>
        </w:rPr>
        <w:t xml:space="preserve"> </w:t>
      </w:r>
      <w:r w:rsidRPr="008C06EE">
        <w:rPr>
          <w:lang w:val="en-GB"/>
        </w:rPr>
        <w:t>for momentum.</w:t>
      </w:r>
    </w:p>
    <w:p w14:paraId="278230F6" w14:textId="489D0DBB" w:rsidR="00DA52A0" w:rsidRDefault="00DA52A0" w:rsidP="008C06EE">
      <w:pPr>
        <w:rPr>
          <w:lang w:val="en-GB"/>
        </w:rPr>
      </w:pPr>
    </w:p>
    <w:p w14:paraId="4C2499E5" w14:textId="469FCBBD" w:rsidR="00DA52A0" w:rsidRDefault="00DA52A0" w:rsidP="00DA52A0">
      <w:pPr>
        <w:rPr>
          <w:lang w:val="en-GB"/>
        </w:rPr>
      </w:pPr>
      <w:r w:rsidRPr="00DA52A0">
        <w:rPr>
          <w:lang w:val="en-GB"/>
        </w:rPr>
        <w:t>These results show that</w:t>
      </w:r>
      <w:r>
        <w:rPr>
          <w:lang w:val="en-GB"/>
        </w:rPr>
        <w:t xml:space="preserve"> </w:t>
      </w:r>
      <w:r w:rsidRPr="00DA52A0">
        <w:rPr>
          <w:lang w:val="en-GB"/>
        </w:rPr>
        <w:t>European momentum strategies can be attractive to investors since alphas are large and</w:t>
      </w:r>
      <w:r>
        <w:rPr>
          <w:lang w:val="en-GB"/>
        </w:rPr>
        <w:t xml:space="preserve"> </w:t>
      </w:r>
      <w:r w:rsidRPr="00DA52A0">
        <w:rPr>
          <w:lang w:val="en-GB"/>
        </w:rPr>
        <w:t>significantly positive, and betas are negative and significant more than half the time</w:t>
      </w:r>
    </w:p>
    <w:p w14:paraId="7B57E893" w14:textId="76824436" w:rsidR="00DA52A0" w:rsidRDefault="00DA52A0" w:rsidP="00DA52A0">
      <w:pPr>
        <w:rPr>
          <w:lang w:val="en-GB"/>
        </w:rPr>
      </w:pPr>
    </w:p>
    <w:p w14:paraId="7E7FD2B6" w14:textId="50459581" w:rsidR="00DA52A0" w:rsidRDefault="00DA52A0" w:rsidP="00DA52A0">
      <w:pPr>
        <w:rPr>
          <w:lang w:val="en-GB"/>
        </w:rPr>
      </w:pPr>
      <w:r w:rsidRPr="00DA52A0">
        <w:rPr>
          <w:lang w:val="en-GB"/>
        </w:rPr>
        <w:t>For each country, we run three sets of regressions: The first regression uses the global future</w:t>
      </w:r>
      <w:r>
        <w:rPr>
          <w:lang w:val="en-GB"/>
        </w:rPr>
        <w:t xml:space="preserve"> </w:t>
      </w:r>
      <w:r w:rsidRPr="00DA52A0">
        <w:rPr>
          <w:lang w:val="en-GB"/>
        </w:rPr>
        <w:t>GDP growth; the second regression uses the U.S. future GDP growth; and the third uses the</w:t>
      </w:r>
      <w:r>
        <w:rPr>
          <w:lang w:val="en-GB"/>
        </w:rPr>
        <w:t xml:space="preserve"> </w:t>
      </w:r>
      <w:r w:rsidRPr="00DA52A0">
        <w:rPr>
          <w:lang w:val="en-GB"/>
        </w:rPr>
        <w:t>country’s own future GDP growth.</w:t>
      </w:r>
    </w:p>
    <w:p w14:paraId="18855061" w14:textId="4D695CE6" w:rsidR="00812D0C" w:rsidRDefault="00812D0C" w:rsidP="00DA52A0">
      <w:pPr>
        <w:rPr>
          <w:lang w:val="en-GB"/>
        </w:rPr>
      </w:pPr>
    </w:p>
    <w:p w14:paraId="5E1DBE37" w14:textId="657CBEB2" w:rsidR="00812D0C" w:rsidRDefault="00812D0C" w:rsidP="00812D0C">
      <w:pPr>
        <w:rPr>
          <w:lang w:val="en-GB"/>
        </w:rPr>
      </w:pPr>
      <w:r w:rsidRPr="00812D0C">
        <w:rPr>
          <w:lang w:val="en-GB"/>
        </w:rPr>
        <w:t>only four of the 16 European loadings on the GDP growth rates are</w:t>
      </w:r>
      <w:r>
        <w:rPr>
          <w:lang w:val="en-GB"/>
        </w:rPr>
        <w:t xml:space="preserve"> </w:t>
      </w:r>
      <w:r w:rsidRPr="00812D0C">
        <w:rPr>
          <w:lang w:val="en-GB"/>
        </w:rPr>
        <w:t>significant and positive, which contrasts with this region’s mostly significant and positive</w:t>
      </w:r>
      <w:r>
        <w:rPr>
          <w:lang w:val="en-GB"/>
        </w:rPr>
        <w:t xml:space="preserve"> </w:t>
      </w:r>
      <w:r w:rsidRPr="00812D0C">
        <w:rPr>
          <w:lang w:val="en-GB"/>
        </w:rPr>
        <w:t>loadings on either the global or country-level GDP growth rates. The implication is that</w:t>
      </w:r>
      <w:r>
        <w:rPr>
          <w:lang w:val="en-GB"/>
        </w:rPr>
        <w:t xml:space="preserve"> </w:t>
      </w:r>
      <w:r w:rsidRPr="00812D0C">
        <w:rPr>
          <w:lang w:val="en-GB"/>
        </w:rPr>
        <w:t>investors who care primarily about U.S. GDP growth can still pursue European value opportunities</w:t>
      </w:r>
      <w:r>
        <w:rPr>
          <w:lang w:val="en-GB"/>
        </w:rPr>
        <w:t xml:space="preserve"> </w:t>
      </w:r>
      <w:r w:rsidRPr="00812D0C">
        <w:rPr>
          <w:lang w:val="en-GB"/>
        </w:rPr>
        <w:t xml:space="preserve">without worrying about low investment returns </w:t>
      </w:r>
      <w:r w:rsidRPr="00812D0C">
        <w:rPr>
          <w:lang w:val="en-GB"/>
        </w:rPr>
        <w:t>preceding</w:t>
      </w:r>
      <w:r w:rsidRPr="00812D0C">
        <w:rPr>
          <w:lang w:val="en-GB"/>
        </w:rPr>
        <w:t xml:space="preserve"> recessions</w:t>
      </w:r>
    </w:p>
    <w:p w14:paraId="7DAC8FDF" w14:textId="60185CB7" w:rsidR="0087225C" w:rsidRDefault="0087225C" w:rsidP="00812D0C">
      <w:pPr>
        <w:rPr>
          <w:lang w:val="en-GB"/>
        </w:rPr>
      </w:pPr>
    </w:p>
    <w:p w14:paraId="1DDA21F6" w14:textId="37D29B7F" w:rsidR="00792225" w:rsidRDefault="0087225C">
      <w:pPr>
        <w:rPr>
          <w:lang w:val="en-GB"/>
        </w:rPr>
      </w:pPr>
      <w:r w:rsidRPr="0087225C">
        <w:rPr>
          <w:lang w:val="en-GB"/>
        </w:rPr>
        <w:t>Specifically, low funding liquidity can trigger risk-management-driven sell-offs, leading higher</w:t>
      </w:r>
      <w:r>
        <w:rPr>
          <w:lang w:val="en-GB"/>
        </w:rPr>
        <w:t xml:space="preserve"> </w:t>
      </w:r>
      <w:r w:rsidRPr="0087225C">
        <w:rPr>
          <w:lang w:val="en-GB"/>
        </w:rPr>
        <w:t>returns to short positions and lower returns to the long positions. Results are also affecte</w:t>
      </w:r>
      <w:r>
        <w:rPr>
          <w:lang w:val="en-GB"/>
        </w:rPr>
        <w:t xml:space="preserve">d </w:t>
      </w:r>
      <w:r w:rsidRPr="0087225C">
        <w:rPr>
          <w:lang w:val="en-GB"/>
        </w:rPr>
        <w:t>by short position capital requirements relative to maintaining a levered long position</w:t>
      </w:r>
    </w:p>
    <w:p w14:paraId="25A4249D" w14:textId="77777777" w:rsidR="00BC4462" w:rsidRDefault="00BC4462">
      <w:pPr>
        <w:rPr>
          <w:lang w:val="en-GB"/>
        </w:rPr>
      </w:pPr>
    </w:p>
    <w:p w14:paraId="70EA6C3E" w14:textId="2DE5F518" w:rsidR="00792225" w:rsidRDefault="00792225" w:rsidP="00792225">
      <w:pPr>
        <w:rPr>
          <w:lang w:val="en-GB"/>
        </w:rPr>
      </w:pPr>
      <w:r w:rsidRPr="00792225">
        <w:rPr>
          <w:lang w:val="en-GB"/>
        </w:rPr>
        <w:t>Overall Table 13 shows that coefficients are mostly positive and often significant</w:t>
      </w:r>
      <w:r>
        <w:rPr>
          <w:lang w:val="en-GB"/>
        </w:rPr>
        <w:t xml:space="preserve"> </w:t>
      </w:r>
      <w:r w:rsidRPr="00792225">
        <w:rPr>
          <w:lang w:val="en-GB"/>
        </w:rPr>
        <w:t>implying that value returns are higher during times of poor stock market liquidity: Value</w:t>
      </w:r>
      <w:r>
        <w:rPr>
          <w:lang w:val="en-GB"/>
        </w:rPr>
        <w:t xml:space="preserve"> </w:t>
      </w:r>
      <w:r w:rsidRPr="00792225">
        <w:rPr>
          <w:lang w:val="en-GB"/>
        </w:rPr>
        <w:t>returns can be a hedge for stock market liquidity deteriorations</w:t>
      </w:r>
      <w:r>
        <w:rPr>
          <w:lang w:val="en-GB"/>
        </w:rPr>
        <w:t>.</w:t>
      </w:r>
    </w:p>
    <w:p w14:paraId="69F86EAF" w14:textId="7ABB2F06" w:rsidR="00792225" w:rsidRDefault="00792225" w:rsidP="00792225">
      <w:pPr>
        <w:rPr>
          <w:lang w:val="en-GB"/>
        </w:rPr>
      </w:pPr>
    </w:p>
    <w:p w14:paraId="7A07F841" w14:textId="645AA4C2" w:rsidR="00792225" w:rsidRDefault="00792225" w:rsidP="00792225">
      <w:pPr>
        <w:rPr>
          <w:lang w:val="en-GB"/>
        </w:rPr>
      </w:pPr>
      <w:r w:rsidRPr="00792225">
        <w:rPr>
          <w:lang w:val="en-GB"/>
        </w:rPr>
        <w:t>Broadly, the table shows that very few of the GDP growth coefficients are significant.</w:t>
      </w:r>
      <w:r>
        <w:rPr>
          <w:lang w:val="en-GB"/>
        </w:rPr>
        <w:t xml:space="preserve"> </w:t>
      </w:r>
      <w:r w:rsidRPr="00792225">
        <w:rPr>
          <w:lang w:val="en-GB"/>
        </w:rPr>
        <w:t>This result suggests that momentum returns are statistically unrelated to the GDP</w:t>
      </w:r>
      <w:r>
        <w:rPr>
          <w:lang w:val="en-GB"/>
        </w:rPr>
        <w:t xml:space="preserve"> </w:t>
      </w:r>
      <w:r w:rsidRPr="00792225">
        <w:rPr>
          <w:lang w:val="en-GB"/>
        </w:rPr>
        <w:t>growth variables we use. The few significant coefficients are negative and in Europe (with</w:t>
      </w:r>
      <w:r>
        <w:rPr>
          <w:lang w:val="en-GB"/>
        </w:rPr>
        <w:t xml:space="preserve"> </w:t>
      </w:r>
      <w:r w:rsidRPr="00792225">
        <w:rPr>
          <w:lang w:val="en-GB"/>
        </w:rPr>
        <w:t>one exception): Momentum returns are higher when future GDP growth is lower. Thus,</w:t>
      </w:r>
      <w:r>
        <w:rPr>
          <w:lang w:val="en-GB"/>
        </w:rPr>
        <w:t xml:space="preserve"> </w:t>
      </w:r>
      <w:r w:rsidRPr="00792225">
        <w:rPr>
          <w:lang w:val="en-GB"/>
        </w:rPr>
        <w:t>16</w:t>
      </w:r>
      <w:r>
        <w:rPr>
          <w:lang w:val="en-GB"/>
        </w:rPr>
        <w:t xml:space="preserve"> </w:t>
      </w:r>
      <w:r w:rsidRPr="00792225">
        <w:rPr>
          <w:lang w:val="en-GB"/>
        </w:rPr>
        <w:t>momentum strategies are actually good hedges against low future economic growth.</w:t>
      </w:r>
    </w:p>
    <w:p w14:paraId="046F8112" w14:textId="44B733CE" w:rsidR="008331A9" w:rsidRDefault="008331A9" w:rsidP="00792225">
      <w:pPr>
        <w:rPr>
          <w:lang w:val="en-GB"/>
        </w:rPr>
      </w:pPr>
    </w:p>
    <w:p w14:paraId="434B3C61" w14:textId="1407D3AE" w:rsidR="008331A9" w:rsidRDefault="008331A9" w:rsidP="008331A9">
      <w:pPr>
        <w:rPr>
          <w:lang w:val="en-GB"/>
        </w:rPr>
      </w:pPr>
      <w:r w:rsidRPr="008331A9">
        <w:rPr>
          <w:lang w:val="en-GB"/>
        </w:rPr>
        <w:t>It appears that the momentum</w:t>
      </w:r>
      <w:r>
        <w:rPr>
          <w:lang w:val="en-GB"/>
        </w:rPr>
        <w:t xml:space="preserve"> </w:t>
      </w:r>
      <w:r w:rsidRPr="008331A9">
        <w:rPr>
          <w:lang w:val="en-GB"/>
        </w:rPr>
        <w:t>puzzle for Asia Pacific countries, Canada and the United States is exacerbated by the stock</w:t>
      </w:r>
      <w:r>
        <w:rPr>
          <w:lang w:val="en-GB"/>
        </w:rPr>
        <w:t xml:space="preserve"> </w:t>
      </w:r>
      <w:r w:rsidRPr="008331A9">
        <w:rPr>
          <w:lang w:val="en-GB"/>
        </w:rPr>
        <w:t>market liquidity considerations. These positive loadings mean that momentum returns are</w:t>
      </w:r>
      <w:r>
        <w:rPr>
          <w:lang w:val="en-GB"/>
        </w:rPr>
        <w:t xml:space="preserve"> </w:t>
      </w:r>
      <w:r w:rsidRPr="008331A9">
        <w:rPr>
          <w:lang w:val="en-GB"/>
        </w:rPr>
        <w:t>high when stock market liquidity is poor. Turning to Europe, three larger economies have</w:t>
      </w:r>
      <w:r>
        <w:rPr>
          <w:lang w:val="en-GB"/>
        </w:rPr>
        <w:t xml:space="preserve"> </w:t>
      </w:r>
      <w:r w:rsidRPr="008331A9">
        <w:rPr>
          <w:lang w:val="en-GB"/>
        </w:rPr>
        <w:t xml:space="preserve">significant and positive loadings, whereas six smaller economies have significant </w:t>
      </w:r>
      <w:r w:rsidRPr="008331A9">
        <w:rPr>
          <w:lang w:val="en-GB"/>
        </w:rPr>
        <w:lastRenderedPageBreak/>
        <w:t>and negative</w:t>
      </w:r>
      <w:r>
        <w:rPr>
          <w:lang w:val="en-GB"/>
        </w:rPr>
        <w:t xml:space="preserve"> </w:t>
      </w:r>
      <w:r w:rsidRPr="008331A9">
        <w:rPr>
          <w:lang w:val="en-GB"/>
        </w:rPr>
        <w:t xml:space="preserve">loadings. The negative loadings imply that covariation with the </w:t>
      </w:r>
      <w:proofErr w:type="spellStart"/>
      <w:r w:rsidRPr="008331A9">
        <w:rPr>
          <w:lang w:val="en-GB"/>
        </w:rPr>
        <w:t>Sadka</w:t>
      </w:r>
      <w:proofErr w:type="spellEnd"/>
      <w:r w:rsidRPr="008331A9">
        <w:rPr>
          <w:lang w:val="en-GB"/>
        </w:rPr>
        <w:t xml:space="preserve"> (2006) or Pastor and</w:t>
      </w:r>
      <w:r>
        <w:rPr>
          <w:lang w:val="en-GB"/>
        </w:rPr>
        <w:t xml:space="preserve"> </w:t>
      </w:r>
      <w:r w:rsidRPr="008331A9">
        <w:rPr>
          <w:lang w:val="en-GB"/>
        </w:rPr>
        <w:t>Stambaugh (2003) liquidity factors can help explain the high European momentum premia</w:t>
      </w:r>
    </w:p>
    <w:p w14:paraId="0B506F7D" w14:textId="27D1C782" w:rsidR="00EE2DBE" w:rsidRDefault="00EE2DBE" w:rsidP="008331A9">
      <w:pPr>
        <w:rPr>
          <w:lang w:val="en-GB"/>
        </w:rPr>
      </w:pPr>
    </w:p>
    <w:p w14:paraId="35DF8970" w14:textId="7A502EB6" w:rsidR="00EE2DBE" w:rsidRPr="0031539E" w:rsidRDefault="007E6AED" w:rsidP="008331A9">
      <w:pPr>
        <w:rPr>
          <w:lang w:val="en-GB"/>
        </w:rPr>
      </w:pPr>
      <w:r>
        <w:rPr>
          <w:lang w:val="en-GB"/>
        </w:rPr>
        <w:t>Robustness</w:t>
      </w:r>
      <w:r w:rsidR="00EE2DBE">
        <w:rPr>
          <w:lang w:val="en-GB"/>
        </w:rPr>
        <w:t xml:space="preserve"> check:</w:t>
      </w:r>
    </w:p>
    <w:sectPr w:rsidR="00EE2DBE" w:rsidRPr="003153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AE033F"/>
    <w:multiLevelType w:val="hybridMultilevel"/>
    <w:tmpl w:val="6E447F10"/>
    <w:lvl w:ilvl="0" w:tplc="D78A80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FD1"/>
    <w:rsid w:val="00077C4A"/>
    <w:rsid w:val="00167FD1"/>
    <w:rsid w:val="0031539E"/>
    <w:rsid w:val="003350AA"/>
    <w:rsid w:val="00487F04"/>
    <w:rsid w:val="004C5199"/>
    <w:rsid w:val="005650D6"/>
    <w:rsid w:val="00627FE4"/>
    <w:rsid w:val="00740DCA"/>
    <w:rsid w:val="0077513E"/>
    <w:rsid w:val="00792225"/>
    <w:rsid w:val="00796E4C"/>
    <w:rsid w:val="007E6AED"/>
    <w:rsid w:val="00812AD5"/>
    <w:rsid w:val="00812D0C"/>
    <w:rsid w:val="008331A9"/>
    <w:rsid w:val="0087225C"/>
    <w:rsid w:val="008C06EE"/>
    <w:rsid w:val="009C21DF"/>
    <w:rsid w:val="00A953D2"/>
    <w:rsid w:val="00AC50E7"/>
    <w:rsid w:val="00B02D9D"/>
    <w:rsid w:val="00B9064D"/>
    <w:rsid w:val="00BC4462"/>
    <w:rsid w:val="00C106E0"/>
    <w:rsid w:val="00C62FED"/>
    <w:rsid w:val="00DA52A0"/>
    <w:rsid w:val="00E05CE1"/>
    <w:rsid w:val="00EE2DBE"/>
    <w:rsid w:val="00F96096"/>
    <w:rsid w:val="00FC6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D809B"/>
  <w15:chartTrackingRefBased/>
  <w15:docId w15:val="{9DED2C55-2C01-47E4-A2AD-72E3246D0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350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02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9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5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34312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143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083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76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1</Pages>
  <Words>1306</Words>
  <Characters>7188</Characters>
  <Application>Microsoft Office Word</Application>
  <DocSecurity>0</DocSecurity>
  <Lines>59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SADURNI</dc:creator>
  <cp:keywords/>
  <dc:description/>
  <cp:lastModifiedBy>Thomas SADURNI</cp:lastModifiedBy>
  <cp:revision>11</cp:revision>
  <dcterms:created xsi:type="dcterms:W3CDTF">2022-02-08T10:55:00Z</dcterms:created>
  <dcterms:modified xsi:type="dcterms:W3CDTF">2022-02-08T16:30:00Z</dcterms:modified>
</cp:coreProperties>
</file>