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20DF72" w14:textId="77777777" w:rsidR="00D56F9A" w:rsidRDefault="00000000">
      <w:pPr>
        <w:spacing w:after="30"/>
        <w:jc w:val="center"/>
      </w:pPr>
      <w:r>
        <w:rPr>
          <w:b/>
          <w:bCs/>
          <w:color w:val="1F3864"/>
          <w:sz w:val="50"/>
          <w:szCs w:val="50"/>
        </w:rPr>
        <w:t>TROY NADIN</w:t>
      </w:r>
    </w:p>
    <w:p w14:paraId="68291278" w14:textId="77777777" w:rsidR="00D56F9A" w:rsidRDefault="00000000">
      <w:pPr>
        <w:spacing w:after="70"/>
        <w:jc w:val="center"/>
      </w:pPr>
      <w:r>
        <w:rPr>
          <w:i/>
          <w:iCs/>
          <w:color w:val="595959"/>
          <w:sz w:val="22"/>
          <w:szCs w:val="22"/>
        </w:rPr>
        <w:t>Incoming PhD Candidate in Economics — Toronto Metropolitan University</w:t>
      </w:r>
    </w:p>
    <w:p w14:paraId="16999BE6" w14:textId="77777777" w:rsidR="00D56F9A" w:rsidRDefault="00000000">
      <w:pPr>
        <w:pBdr>
          <w:bottom w:val="single" w:sz="8" w:space="4" w:color="1F3864"/>
        </w:pBdr>
        <w:spacing w:before="190" w:after="85"/>
      </w:pPr>
      <w:r>
        <w:rPr>
          <w:b/>
          <w:bCs/>
          <w:color w:val="1F3864"/>
          <w:sz w:val="24"/>
          <w:szCs w:val="24"/>
        </w:rPr>
        <w:t>EDUCATION</w:t>
      </w:r>
    </w:p>
    <w:p w14:paraId="1DFE7610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Doctor of Philosophy, Economics — Toronto Metropolitan University</w:t>
      </w:r>
      <w:r>
        <w:ptab w:relativeTo="margin" w:alignment="right" w:leader="none"/>
      </w:r>
      <w:r>
        <w:rPr>
          <w:i/>
          <w:iCs/>
          <w:color w:val="595959"/>
        </w:rPr>
        <w:t>Expected Sept 2026 – June 2031</w:t>
      </w:r>
    </w:p>
    <w:p w14:paraId="4603FD6F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Master of Finance — Saint Mary's University</w:t>
      </w:r>
    </w:p>
    <w:p w14:paraId="221E58F4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Graduate Diploma in Accounting — Queen's University</w:t>
      </w:r>
    </w:p>
    <w:p w14:paraId="01474304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Honours Bachelor of Commerce, Minor in Economics — McMaster University</w:t>
      </w:r>
    </w:p>
    <w:p w14:paraId="25E290AD" w14:textId="77777777" w:rsidR="00D56F9A" w:rsidRDefault="00000000">
      <w:pPr>
        <w:pBdr>
          <w:bottom w:val="single" w:sz="8" w:space="4" w:color="1F3864"/>
        </w:pBdr>
        <w:spacing w:before="190" w:after="85"/>
      </w:pPr>
      <w:r>
        <w:rPr>
          <w:b/>
          <w:bCs/>
          <w:color w:val="1F3864"/>
          <w:sz w:val="24"/>
          <w:szCs w:val="24"/>
        </w:rPr>
        <w:t>RESEARCH INTERESTS</w:t>
      </w:r>
    </w:p>
    <w:p w14:paraId="7FD4F45E" w14:textId="77777777" w:rsidR="00D56F9A" w:rsidRDefault="00000000">
      <w:pPr>
        <w:spacing w:after="70"/>
      </w:pPr>
      <w:r>
        <w:rPr>
          <w:color w:val="262626"/>
        </w:rPr>
        <w:t>International macroeconomics and finance, with a focus on sovereign debt, financial stability, and macro-financial linkages in resource-dependent emerging economies.</w:t>
      </w:r>
    </w:p>
    <w:p w14:paraId="27AFB658" w14:textId="77777777" w:rsidR="00D56F9A" w:rsidRDefault="00000000">
      <w:pPr>
        <w:spacing w:after="115"/>
      </w:pPr>
      <w:r>
        <w:rPr>
          <w:color w:val="262626"/>
        </w:rPr>
        <w:t>Dissertation (working title): "Essays on the Macro-Finance of a Post-Default Resource-Dependent Economy: Empirical Evidence from Zambia." The project comprises three modules: (1) sovereign debt restructuring, analyzed using an event-study and synthetic-control design; (2) transmission of commodity-price and exchange-rate shocks; and (3) banking-sector and digital-finance dynamics.</w:t>
      </w:r>
    </w:p>
    <w:p w14:paraId="1AF31753" w14:textId="77777777" w:rsidR="00D56F9A" w:rsidRDefault="00000000">
      <w:pPr>
        <w:pBdr>
          <w:bottom w:val="single" w:sz="8" w:space="4" w:color="1F3864"/>
        </w:pBdr>
        <w:spacing w:before="190" w:after="85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7AD29E52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DJB CPAs — Intermediate Staff Accountant, Assurance</w:t>
      </w:r>
      <w:r>
        <w:ptab w:relativeTo="margin" w:alignment="right" w:leader="none"/>
      </w:r>
      <w:r>
        <w:rPr>
          <w:i/>
          <w:iCs/>
          <w:color w:val="595959"/>
        </w:rPr>
        <w:t>Sept 2023 – June 2024</w:t>
      </w:r>
    </w:p>
    <w:p w14:paraId="7D10A174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Prepared budgets, financial statements, and tax filings for clients across multiple industries</w:t>
      </w:r>
    </w:p>
    <w:p w14:paraId="020ECE1D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Collaborated with senior stakeholders, including executives, to develop and present budget materials and reports for board-level review</w:t>
      </w:r>
    </w:p>
    <w:p w14:paraId="0D05E277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Managed multiple concurrent client engagements, prioritizing effectively under tight deadlines</w:t>
      </w:r>
    </w:p>
    <w:p w14:paraId="35CD9DFD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Analyzed financial data to identify tax optimization opportunities and ensure regulatory compliance</w:t>
      </w:r>
    </w:p>
    <w:p w14:paraId="2C32CA92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Handled sensitive financial information with a high degree of confidentiality and professionalism</w:t>
      </w:r>
    </w:p>
    <w:p w14:paraId="3391FB29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Fuller Landau LLP — Intermediate Staff Accountant</w:t>
      </w:r>
      <w:r>
        <w:ptab w:relativeTo="margin" w:alignment="right" w:leader="none"/>
      </w:r>
      <w:r>
        <w:rPr>
          <w:i/>
          <w:iCs/>
          <w:color w:val="595959"/>
        </w:rPr>
        <w:t>Jan 2023 – Apr 2023</w:t>
      </w:r>
    </w:p>
    <w:p w14:paraId="025D2F9C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Performed assurance procedures, contributing to data-driven financial insights and reporting outputs</w:t>
      </w:r>
    </w:p>
    <w:p w14:paraId="4BF833BC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Prepared financial schedules, including bank reconciliations, lease continuity, and amortization, enhancing data accuracy and transparency</w:t>
      </w:r>
    </w:p>
    <w:p w14:paraId="0BE598C1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Coordinated across teams to deliver client engagements on time</w:t>
      </w:r>
    </w:p>
    <w:p w14:paraId="0221EC59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 xml:space="preserve">Pettinelli </w:t>
      </w:r>
      <w:proofErr w:type="spellStart"/>
      <w:r>
        <w:rPr>
          <w:b/>
          <w:bCs/>
          <w:color w:val="262626"/>
          <w:sz w:val="22"/>
          <w:szCs w:val="22"/>
        </w:rPr>
        <w:t>Mastroluisi</w:t>
      </w:r>
      <w:proofErr w:type="spellEnd"/>
      <w:r>
        <w:rPr>
          <w:b/>
          <w:bCs/>
          <w:color w:val="262626"/>
          <w:sz w:val="22"/>
          <w:szCs w:val="22"/>
        </w:rPr>
        <w:t xml:space="preserve"> LLP — Intermediate Staff Accountant</w:t>
      </w:r>
      <w:r>
        <w:ptab w:relativeTo="margin" w:alignment="right" w:leader="none"/>
      </w:r>
      <w:r>
        <w:rPr>
          <w:i/>
          <w:iCs/>
          <w:color w:val="595959"/>
        </w:rPr>
        <w:t>Nov 2021 – Jan 2023</w:t>
      </w:r>
    </w:p>
    <w:p w14:paraId="6A74C9B4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Analyzed financial statements to assess business performance, risk exposure, and covenant compliance</w:t>
      </w:r>
    </w:p>
    <w:p w14:paraId="1D6AE127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Delivered actionable financial insights across client industries to support decision-making</w:t>
      </w:r>
    </w:p>
    <w:p w14:paraId="284C48B8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Managed a portfolio of clients, balancing competing priorities while maintaining high-quality deliverables</w:t>
      </w:r>
    </w:p>
    <w:p w14:paraId="118E937D" w14:textId="77777777" w:rsidR="00D56F9A" w:rsidRDefault="00000000">
      <w:pPr>
        <w:spacing w:before="105" w:after="15"/>
      </w:pPr>
      <w:r>
        <w:rPr>
          <w:b/>
          <w:bCs/>
          <w:color w:val="262626"/>
          <w:sz w:val="22"/>
          <w:szCs w:val="22"/>
        </w:rPr>
        <w:t>EY LLP — Intermediate Staff Accountant</w:t>
      </w:r>
      <w:r>
        <w:ptab w:relativeTo="margin" w:alignment="right" w:leader="none"/>
      </w:r>
      <w:r>
        <w:rPr>
          <w:i/>
          <w:iCs/>
          <w:color w:val="595959"/>
        </w:rPr>
        <w:t>Oct 2020 – Nov 2021</w:t>
      </w:r>
    </w:p>
    <w:p w14:paraId="25BCD151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Executed audit procedures across key financial accounts, using data analysis and digital tools to improve efficiency</w:t>
      </w:r>
    </w:p>
    <w:p w14:paraId="57B6DF06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Contributed to audit planning, materiality assessment, and risk evaluation</w:t>
      </w:r>
    </w:p>
    <w:p w14:paraId="1D96D7C7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Collaborated with cross-functional teams and client stakeholders, strengthening communication</w:t>
      </w:r>
    </w:p>
    <w:p w14:paraId="3EE0A4AA" w14:textId="77777777" w:rsidR="00D56F9A" w:rsidRDefault="00000000">
      <w:pPr>
        <w:pStyle w:val="ListParagraph"/>
        <w:numPr>
          <w:ilvl w:val="0"/>
          <w:numId w:val="2"/>
        </w:numPr>
        <w:spacing w:after="32"/>
      </w:pPr>
      <w:r>
        <w:rPr>
          <w:color w:val="262626"/>
        </w:rPr>
        <w:t>Ensured compliance with IFRS standards and firm policies under strict deadlines</w:t>
      </w:r>
    </w:p>
    <w:p w14:paraId="4B19F083" w14:textId="77777777" w:rsidR="00D56F9A" w:rsidRDefault="00000000">
      <w:pPr>
        <w:pBdr>
          <w:bottom w:val="single" w:sz="8" w:space="4" w:color="1F3864"/>
        </w:pBdr>
        <w:spacing w:before="190" w:after="85"/>
      </w:pPr>
      <w:r>
        <w:rPr>
          <w:b/>
          <w:bCs/>
          <w:color w:val="1F3864"/>
          <w:sz w:val="24"/>
          <w:szCs w:val="24"/>
        </w:rPr>
        <w:t>SKILLS &amp; CERTIFICATIONS</w:t>
      </w:r>
    </w:p>
    <w:p w14:paraId="3D2CBADD" w14:textId="77777777" w:rsidR="00D56F9A" w:rsidRDefault="00000000">
      <w:pPr>
        <w:spacing w:after="40"/>
      </w:pPr>
      <w:r>
        <w:rPr>
          <w:color w:val="262626"/>
        </w:rPr>
        <w:t>Statistical &amp; Programming Software: R, Python, Stata, Bloomberg Terminal</w:t>
      </w:r>
    </w:p>
    <w:p w14:paraId="780991FD" w14:textId="77777777" w:rsidR="00D56F9A" w:rsidRDefault="00000000">
      <w:pPr>
        <w:spacing w:after="40"/>
      </w:pPr>
      <w:r>
        <w:rPr>
          <w:color w:val="262626"/>
        </w:rPr>
        <w:t>Productivity Software: Microsoft Excel (Advanced), PowerPoint, Word, Teams</w:t>
      </w:r>
    </w:p>
    <w:p w14:paraId="223291B8" w14:textId="77777777" w:rsidR="00D56F9A" w:rsidRDefault="00000000">
      <w:pPr>
        <w:spacing w:after="40"/>
        <w:rPr>
          <w:color w:val="262626"/>
        </w:rPr>
      </w:pPr>
      <w:r>
        <w:rPr>
          <w:color w:val="262626"/>
        </w:rPr>
        <w:t>Certification: CFA Level II Candidate</w:t>
      </w:r>
    </w:p>
    <w:p w14:paraId="50926CC4" w14:textId="2D889A7F" w:rsidR="00C22D6A" w:rsidRDefault="00C22D6A">
      <w:pPr>
        <w:spacing w:after="40"/>
      </w:pPr>
      <w:r>
        <w:rPr>
          <w:color w:val="262626"/>
        </w:rPr>
        <w:t>Volunteer: CFA Society Toronto Student Ambassador 2026/27</w:t>
      </w:r>
    </w:p>
    <w:p w14:paraId="090D0E99" w14:textId="77777777" w:rsidR="00D56F9A" w:rsidRDefault="00000000">
      <w:pPr>
        <w:spacing w:before="160"/>
        <w:jc w:val="center"/>
      </w:pPr>
      <w:r>
        <w:rPr>
          <w:i/>
          <w:iCs/>
          <w:color w:val="595959"/>
          <w:sz w:val="19"/>
          <w:szCs w:val="19"/>
        </w:rPr>
        <w:t>References available upon request.</w:t>
      </w:r>
    </w:p>
    <w:sectPr w:rsidR="00D56F9A">
      <w:pgSz w:w="12240" w:h="15840"/>
      <w:pgMar w:top="6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BF710F"/>
    <w:multiLevelType w:val="hybridMultilevel"/>
    <w:tmpl w:val="1F100870"/>
    <w:lvl w:ilvl="0" w:tplc="24729DB4">
      <w:start w:val="1"/>
      <w:numFmt w:val="bullet"/>
      <w:lvlText w:val="●"/>
      <w:lvlJc w:val="left"/>
      <w:pPr>
        <w:ind w:left="720" w:hanging="360"/>
      </w:pPr>
    </w:lvl>
    <w:lvl w:ilvl="1" w:tplc="AE28BAA8">
      <w:start w:val="1"/>
      <w:numFmt w:val="bullet"/>
      <w:lvlText w:val="○"/>
      <w:lvlJc w:val="left"/>
      <w:pPr>
        <w:ind w:left="1440" w:hanging="360"/>
      </w:pPr>
    </w:lvl>
    <w:lvl w:ilvl="2" w:tplc="52E46EB8">
      <w:start w:val="1"/>
      <w:numFmt w:val="bullet"/>
      <w:lvlText w:val="■"/>
      <w:lvlJc w:val="left"/>
      <w:pPr>
        <w:ind w:left="2160" w:hanging="360"/>
      </w:pPr>
    </w:lvl>
    <w:lvl w:ilvl="3" w:tplc="FBC8C02C">
      <w:start w:val="1"/>
      <w:numFmt w:val="bullet"/>
      <w:lvlText w:val="●"/>
      <w:lvlJc w:val="left"/>
      <w:pPr>
        <w:ind w:left="2880" w:hanging="360"/>
      </w:pPr>
    </w:lvl>
    <w:lvl w:ilvl="4" w:tplc="EA043F6A">
      <w:start w:val="1"/>
      <w:numFmt w:val="bullet"/>
      <w:lvlText w:val="○"/>
      <w:lvlJc w:val="left"/>
      <w:pPr>
        <w:ind w:left="3600" w:hanging="360"/>
      </w:pPr>
    </w:lvl>
    <w:lvl w:ilvl="5" w:tplc="5058CD2E">
      <w:start w:val="1"/>
      <w:numFmt w:val="bullet"/>
      <w:lvlText w:val="■"/>
      <w:lvlJc w:val="left"/>
      <w:pPr>
        <w:ind w:left="4320" w:hanging="360"/>
      </w:pPr>
    </w:lvl>
    <w:lvl w:ilvl="6" w:tplc="E124B070">
      <w:start w:val="1"/>
      <w:numFmt w:val="bullet"/>
      <w:lvlText w:val="●"/>
      <w:lvlJc w:val="left"/>
      <w:pPr>
        <w:ind w:left="5040" w:hanging="360"/>
      </w:pPr>
    </w:lvl>
    <w:lvl w:ilvl="7" w:tplc="39A6DD68">
      <w:start w:val="1"/>
      <w:numFmt w:val="bullet"/>
      <w:lvlText w:val="●"/>
      <w:lvlJc w:val="left"/>
      <w:pPr>
        <w:ind w:left="5760" w:hanging="360"/>
      </w:pPr>
    </w:lvl>
    <w:lvl w:ilvl="8" w:tplc="98E2C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807626"/>
    <w:multiLevelType w:val="hybridMultilevel"/>
    <w:tmpl w:val="C142BA0C"/>
    <w:lvl w:ilvl="0" w:tplc="D6D8B512">
      <w:start w:val="1"/>
      <w:numFmt w:val="bullet"/>
      <w:lvlText w:val="•"/>
      <w:lvlJc w:val="left"/>
      <w:pPr>
        <w:ind w:left="450" w:hanging="270"/>
      </w:pPr>
    </w:lvl>
    <w:lvl w:ilvl="1" w:tplc="F5926928">
      <w:numFmt w:val="decimal"/>
      <w:lvlText w:val=""/>
      <w:lvlJc w:val="left"/>
    </w:lvl>
    <w:lvl w:ilvl="2" w:tplc="9A369CD2">
      <w:numFmt w:val="decimal"/>
      <w:lvlText w:val=""/>
      <w:lvlJc w:val="left"/>
    </w:lvl>
    <w:lvl w:ilvl="3" w:tplc="B5C4B5E6">
      <w:numFmt w:val="decimal"/>
      <w:lvlText w:val=""/>
      <w:lvlJc w:val="left"/>
    </w:lvl>
    <w:lvl w:ilvl="4" w:tplc="A5FAFB1A">
      <w:numFmt w:val="decimal"/>
      <w:lvlText w:val=""/>
      <w:lvlJc w:val="left"/>
    </w:lvl>
    <w:lvl w:ilvl="5" w:tplc="96CA38E4">
      <w:numFmt w:val="decimal"/>
      <w:lvlText w:val=""/>
      <w:lvlJc w:val="left"/>
    </w:lvl>
    <w:lvl w:ilvl="6" w:tplc="14DE013C">
      <w:numFmt w:val="decimal"/>
      <w:lvlText w:val=""/>
      <w:lvlJc w:val="left"/>
    </w:lvl>
    <w:lvl w:ilvl="7" w:tplc="C8D8A6C0">
      <w:numFmt w:val="decimal"/>
      <w:lvlText w:val=""/>
      <w:lvlJc w:val="left"/>
    </w:lvl>
    <w:lvl w:ilvl="8" w:tplc="A97EF03A">
      <w:numFmt w:val="decimal"/>
      <w:lvlText w:val=""/>
      <w:lvlJc w:val="left"/>
    </w:lvl>
  </w:abstractNum>
  <w:num w:numId="1" w16cid:durableId="778186151">
    <w:abstractNumId w:val="0"/>
    <w:lvlOverride w:ilvl="0">
      <w:startOverride w:val="1"/>
    </w:lvlOverride>
  </w:num>
  <w:num w:numId="2" w16cid:durableId="196703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F9A"/>
    <w:rsid w:val="002B288A"/>
    <w:rsid w:val="00C22D6A"/>
    <w:rsid w:val="00D5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4A37A"/>
  <w15:docId w15:val="{F96306B7-07F2-B742-B41F-554F4702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Troy Nadin</cp:lastModifiedBy>
  <cp:revision>2</cp:revision>
  <dcterms:created xsi:type="dcterms:W3CDTF">2026-09-16T18:38:00Z</dcterms:created>
  <dcterms:modified xsi:type="dcterms:W3CDTF">2026-10-04T17:17:00Z</dcterms:modified>
</cp:coreProperties>
</file>