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7795" w:rsidRPr="00267866" w:rsidRDefault="00487795" w:rsidP="00487795">
      <w:pPr>
        <w:pStyle w:val="Title"/>
        <w:outlineLvl w:val="0"/>
        <w:rPr>
          <w:lang w:val="da-DK"/>
        </w:rPr>
      </w:pPr>
      <w:bookmarkStart w:id="0" w:name="_Toc243942007"/>
      <w:bookmarkStart w:id="1" w:name="_Toc243942054"/>
      <w:bookmarkStart w:id="2" w:name="_Toc243942098"/>
      <w:bookmarkStart w:id="3" w:name="_Toc243942216"/>
      <w:bookmarkStart w:id="4" w:name="_Toc243942447"/>
      <w:bookmarkStart w:id="5" w:name="_Toc243954720"/>
      <w:r w:rsidRPr="00267866">
        <w:rPr>
          <w:lang w:val="da-DK"/>
        </w:rPr>
        <w:t xml:space="preserve">Problem </w:t>
      </w:r>
      <w:r>
        <w:rPr>
          <w:lang w:val="da-DK"/>
        </w:rPr>
        <w:t>G</w:t>
      </w:r>
      <w:r w:rsidRPr="00267866">
        <w:rPr>
          <w:lang w:val="da-DK"/>
        </w:rPr>
        <w:t xml:space="preserve">: </w:t>
      </w:r>
      <w:bookmarkEnd w:id="0"/>
      <w:bookmarkEnd w:id="1"/>
      <w:bookmarkEnd w:id="2"/>
      <w:bookmarkEnd w:id="3"/>
      <w:bookmarkEnd w:id="4"/>
      <w:bookmarkEnd w:id="5"/>
      <w:r>
        <w:rPr>
          <w:b/>
          <w:bCs/>
          <w:lang w:val="da-DK"/>
        </w:rPr>
        <w:t>Trundling Object</w:t>
      </w:r>
    </w:p>
    <w:p w:rsidR="00487795" w:rsidRDefault="00487795" w:rsidP="00487795">
      <w:pPr>
        <w:ind w:firstLine="360"/>
        <w:rPr>
          <w:rFonts w:eastAsiaTheme="minorEastAsia"/>
          <w:lang w:bidi="fa-IR"/>
        </w:rPr>
      </w:pPr>
      <w:r>
        <w:rPr>
          <w:lang w:bidi="fa-IR"/>
        </w:rPr>
        <w:t xml:space="preserve">There is a rectangular cube with dimensions </w:t>
      </w:r>
      <m:oMath>
        <m:r>
          <w:rPr>
            <w:rFonts w:ascii="Cambria Math" w:hAnsi="Cambria Math"/>
            <w:lang w:bidi="fa-IR"/>
          </w:rPr>
          <m:t>a×b×c</m:t>
        </m:r>
      </m:oMath>
      <w:r>
        <w:rPr>
          <w:rFonts w:eastAsiaTheme="minorEastAsia"/>
          <w:lang w:bidi="fa-IR"/>
        </w:rPr>
        <w:t xml:space="preserve"> on a </w:t>
      </w:r>
      <m:oMath>
        <m:r>
          <w:rPr>
            <w:rFonts w:ascii="Cambria Math" w:eastAsiaTheme="minorEastAsia" w:hAnsi="Cambria Math"/>
            <w:lang w:bidi="fa-IR"/>
          </w:rPr>
          <m:t>m×n</m:t>
        </m:r>
      </m:oMath>
      <w:r>
        <w:rPr>
          <w:rFonts w:eastAsiaTheme="minorEastAsia"/>
          <w:lang w:bidi="fa-IR"/>
        </w:rPr>
        <w:t xml:space="preserve"> table (Face </w:t>
      </w:r>
      <m:oMath>
        <m:r>
          <w:rPr>
            <w:rFonts w:ascii="Cambria Math" w:eastAsiaTheme="minorEastAsia" w:hAnsi="Cambria Math"/>
            <w:lang w:bidi="fa-IR"/>
          </w:rPr>
          <m:t>a×b</m:t>
        </m:r>
      </m:oMath>
      <w:r>
        <w:rPr>
          <w:rFonts w:eastAsiaTheme="minorEastAsia"/>
          <w:lang w:bidi="fa-IR"/>
        </w:rPr>
        <w:t xml:space="preserve"> of the cube is on the first </w:t>
      </w:r>
      <m:oMath>
        <m:r>
          <w:rPr>
            <w:rFonts w:ascii="Cambria Math" w:eastAsiaTheme="minorEastAsia" w:hAnsi="Cambria Math"/>
            <w:lang w:bidi="fa-IR"/>
          </w:rPr>
          <m:t>a</m:t>
        </m:r>
      </m:oMath>
      <w:r>
        <w:rPr>
          <w:rFonts w:eastAsiaTheme="minorEastAsia"/>
          <w:lang w:bidi="fa-IR"/>
        </w:rPr>
        <w:t xml:space="preserve"> rows and first </w:t>
      </w:r>
      <m:oMath>
        <m:r>
          <w:rPr>
            <w:rFonts w:ascii="Cambria Math" w:eastAsiaTheme="minorEastAsia" w:hAnsi="Cambria Math"/>
            <w:lang w:bidi="fa-IR"/>
          </w:rPr>
          <m:t>b</m:t>
        </m:r>
      </m:oMath>
      <w:r>
        <w:rPr>
          <w:rFonts w:eastAsiaTheme="minorEastAsia"/>
          <w:lang w:bidi="fa-IR"/>
        </w:rPr>
        <w:t xml:space="preserve"> columns of the table). Some of the cells of t</w:t>
      </w:r>
      <w:r w:rsidR="00340537">
        <w:rPr>
          <w:rFonts w:eastAsiaTheme="minorEastAsia"/>
          <w:lang w:bidi="fa-IR"/>
        </w:rPr>
        <w:t>he table are blue and some</w:t>
      </w:r>
      <w:r>
        <w:rPr>
          <w:rFonts w:eastAsiaTheme="minorEastAsia"/>
          <w:lang w:bidi="fa-IR"/>
        </w:rPr>
        <w:t xml:space="preserve"> are red</w:t>
      </w:r>
      <w:r w:rsidR="00534C38">
        <w:rPr>
          <w:rFonts w:eastAsiaTheme="minorEastAsia"/>
          <w:lang w:bidi="fa-IR"/>
        </w:rPr>
        <w:t>(Some of the cell</w:t>
      </w:r>
      <w:r w:rsidR="00B26B5B">
        <w:rPr>
          <w:rFonts w:eastAsiaTheme="minorEastAsia"/>
          <w:lang w:bidi="fa-IR"/>
        </w:rPr>
        <w:t>s</w:t>
      </w:r>
      <w:r w:rsidR="00534C38">
        <w:rPr>
          <w:rFonts w:eastAsiaTheme="minorEastAsia"/>
          <w:lang w:bidi="fa-IR"/>
        </w:rPr>
        <w:t xml:space="preserve"> may have no color)</w:t>
      </w:r>
      <w:r>
        <w:rPr>
          <w:rFonts w:eastAsiaTheme="minorEastAsia"/>
          <w:lang w:bidi="fa-IR"/>
        </w:rPr>
        <w:t xml:space="preserve">. You can trundle rectangular cube in one of the four directions up, down, left and right if: </w:t>
      </w:r>
    </w:p>
    <w:p w:rsidR="00487795" w:rsidRDefault="00487795" w:rsidP="00487795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lang w:bidi="fa-IR"/>
        </w:rPr>
        <w:t>It completely remains on the table.</w:t>
      </w:r>
    </w:p>
    <w:p w:rsidR="00487795" w:rsidRPr="007555B8" w:rsidRDefault="00487795" w:rsidP="00487795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lang w:bidi="fa-IR"/>
        </w:rPr>
        <w:t>There will be no red cell under the cube.</w:t>
      </w:r>
    </w:p>
    <w:p w:rsidR="00487795" w:rsidRDefault="00487795" w:rsidP="00487795">
      <w:pPr>
        <w:ind w:firstLine="360"/>
        <w:rPr>
          <w:bCs/>
          <w:lang w:bidi="fa-IR"/>
        </w:rPr>
      </w:pPr>
      <w:r>
        <w:rPr>
          <w:lang w:bidi="fa-IR"/>
        </w:rPr>
        <w:t xml:space="preserve">When the rectangular cube covers a cell, the color of that cell will be change to black. You should find the maximum number of </w:t>
      </w:r>
      <w:r w:rsidR="00416B9A">
        <w:rPr>
          <w:lang w:bidi="fa-IR"/>
        </w:rPr>
        <w:t xml:space="preserve">blue </w:t>
      </w:r>
      <w:r>
        <w:rPr>
          <w:lang w:bidi="fa-IR"/>
        </w:rPr>
        <w:t>cells that can be change to black.</w:t>
      </w:r>
    </w:p>
    <w:p w:rsidR="00487795" w:rsidRDefault="00487795" w:rsidP="00487795">
      <w:pPr>
        <w:pStyle w:val="Heading2"/>
        <w:rPr>
          <w:rStyle w:val="Strong"/>
          <w:sz w:val="36"/>
          <w:szCs w:val="36"/>
        </w:rPr>
      </w:pPr>
      <w:bookmarkStart w:id="6" w:name="_Toc243942012"/>
      <w:bookmarkStart w:id="7" w:name="_Toc243942059"/>
      <w:bookmarkStart w:id="8" w:name="_Toc243942103"/>
      <w:bookmarkStart w:id="9" w:name="_Toc243942217"/>
      <w:bookmarkStart w:id="10" w:name="_Toc243942448"/>
      <w:bookmarkStart w:id="11" w:name="_Toc243954721"/>
      <w:r w:rsidRPr="00D37701">
        <w:rPr>
          <w:rStyle w:val="Strong"/>
          <w:sz w:val="36"/>
          <w:szCs w:val="36"/>
        </w:rPr>
        <w:t>Input</w:t>
      </w:r>
      <w:bookmarkEnd w:id="6"/>
      <w:bookmarkEnd w:id="7"/>
      <w:bookmarkEnd w:id="8"/>
      <w:bookmarkEnd w:id="9"/>
      <w:bookmarkEnd w:id="10"/>
      <w:bookmarkEnd w:id="11"/>
    </w:p>
    <w:p w:rsidR="00487795" w:rsidRDefault="00487795" w:rsidP="00487795">
      <w:pPr>
        <w:ind w:firstLine="450"/>
      </w:pPr>
      <w:bookmarkStart w:id="12" w:name="_Toc243942013"/>
      <w:bookmarkStart w:id="13" w:name="_Toc243942060"/>
      <w:bookmarkStart w:id="14" w:name="_Toc243942104"/>
      <w:r>
        <w:rPr>
          <w:rStyle w:val="Strong"/>
          <w:rFonts w:eastAsiaTheme="minorEastAsia"/>
          <w:b w:val="0"/>
          <w:bCs w:val="0"/>
        </w:rPr>
        <w:t>First line of Input contains the number of the tests</w:t>
      </w:r>
      <w:r>
        <w:t xml:space="preserve">. </w:t>
      </w:r>
    </w:p>
    <w:p w:rsidR="00487795" w:rsidRDefault="00487795" w:rsidP="00D228F4">
      <w:pPr>
        <w:ind w:firstLine="450"/>
        <w:rPr>
          <w:lang w:bidi="fa-IR"/>
        </w:rPr>
      </w:pPr>
      <w:r w:rsidRPr="007555B8">
        <w:t>Each test case</w:t>
      </w:r>
      <w:r>
        <w:t xml:space="preserve"> </w:t>
      </w:r>
      <w:bookmarkEnd w:id="12"/>
      <w:bookmarkEnd w:id="13"/>
      <w:bookmarkEnd w:id="14"/>
      <w:r>
        <w:t xml:space="preserve">consists of </w:t>
      </w:r>
      <m:oMath>
        <m:r>
          <w:rPr>
            <w:rFonts w:ascii="Cambria Math" w:hAnsi="Cambria Math"/>
          </w:rPr>
          <m:t>(1≤a,b,c≤100</m:t>
        </m:r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that shows the dimensions of the cube and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max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a,b,c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eastAsiaTheme="minorEastAsia" w:hAnsi="Cambria Math"/>
          </w:rPr>
          <m:t>≤m,n≤100</m:t>
        </m:r>
      </m:oMath>
      <w:r>
        <w:rPr>
          <w:rFonts w:eastAsiaTheme="minorEastAsia"/>
        </w:rPr>
        <w:t xml:space="preserve"> that shows the size of table. In the following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 w:hint="cs"/>
          <w:rtl/>
          <w:lang w:bidi="fa-IR"/>
        </w:rPr>
        <w:t xml:space="preserve"> </w:t>
      </w:r>
      <w:r>
        <w:rPr>
          <w:rFonts w:eastAsiaTheme="minorEastAsia"/>
          <w:lang w:bidi="fa-IR"/>
        </w:rPr>
        <w:t xml:space="preserve">lines, in each line there are </w:t>
      </w:r>
      <m:oMath>
        <m:r>
          <w:rPr>
            <w:rFonts w:ascii="Cambria Math" w:eastAsiaTheme="minorEastAsia" w:hAnsi="Cambria Math"/>
            <w:lang w:bidi="fa-IR"/>
          </w:rPr>
          <m:t>n</m:t>
        </m:r>
      </m:oMath>
      <w:r>
        <w:rPr>
          <w:rFonts w:eastAsiaTheme="minorEastAsia"/>
          <w:lang w:bidi="fa-IR"/>
        </w:rPr>
        <w:t xml:space="preserve"> characters that show the colors of the cells of the table.</w:t>
      </w:r>
    </w:p>
    <w:p w:rsidR="00487795" w:rsidRPr="00D37701" w:rsidRDefault="00487795" w:rsidP="00487795">
      <w:pPr>
        <w:pStyle w:val="Heading2"/>
        <w:rPr>
          <w:rStyle w:val="Strong"/>
          <w:b w:val="0"/>
          <w:bCs/>
        </w:rPr>
      </w:pPr>
      <w:bookmarkStart w:id="15" w:name="_Toc243942014"/>
      <w:bookmarkStart w:id="16" w:name="_Toc243942061"/>
      <w:bookmarkStart w:id="17" w:name="_Toc243942105"/>
      <w:bookmarkStart w:id="18" w:name="_Toc243942218"/>
      <w:bookmarkStart w:id="19" w:name="_Toc243942449"/>
      <w:bookmarkStart w:id="20" w:name="_Toc243954722"/>
      <w:r w:rsidRPr="00D37701">
        <w:rPr>
          <w:rStyle w:val="Strong"/>
          <w:sz w:val="36"/>
          <w:szCs w:val="36"/>
        </w:rPr>
        <w:t>Output</w:t>
      </w:r>
      <w:bookmarkEnd w:id="15"/>
      <w:bookmarkEnd w:id="16"/>
      <w:bookmarkEnd w:id="17"/>
      <w:bookmarkEnd w:id="18"/>
      <w:bookmarkEnd w:id="19"/>
      <w:bookmarkEnd w:id="20"/>
    </w:p>
    <w:p w:rsidR="00487795" w:rsidRPr="00D37701" w:rsidRDefault="00487795" w:rsidP="00487795">
      <w:pPr>
        <w:ind w:firstLine="360"/>
        <w:jc w:val="both"/>
        <w:rPr>
          <w:rStyle w:val="Strong"/>
          <w:rFonts w:eastAsiaTheme="minorEastAsia"/>
          <w:b w:val="0"/>
          <w:bCs w:val="0"/>
        </w:rPr>
      </w:pPr>
      <w:r>
        <w:rPr>
          <w:rFonts w:eastAsiaTheme="minorEastAsia"/>
        </w:rPr>
        <w:t>For each test case, output the maximum number of blue cells that can be turn to black.</w:t>
      </w:r>
    </w:p>
    <w:tbl>
      <w:tblPr>
        <w:tblStyle w:val="LightList-Accent11"/>
        <w:tblW w:w="0" w:type="auto"/>
        <w:tblLook w:val="00A0"/>
      </w:tblPr>
      <w:tblGrid>
        <w:gridCol w:w="4680"/>
        <w:gridCol w:w="4896"/>
      </w:tblGrid>
      <w:tr w:rsidR="00487795" w:rsidRPr="00D37701" w:rsidTr="00094683">
        <w:trPr>
          <w:cnfStyle w:val="100000000000"/>
        </w:trPr>
        <w:tc>
          <w:tcPr>
            <w:cnfStyle w:val="001000000000"/>
            <w:tcW w:w="4680" w:type="dxa"/>
          </w:tcPr>
          <w:p w:rsidR="00487795" w:rsidRPr="00D37701" w:rsidRDefault="00487795" w:rsidP="00094683">
            <w:pPr>
              <w:rPr>
                <w:rStyle w:val="Strong"/>
                <w:rFonts w:ascii="Courier New" w:hAnsi="Courier New" w:cs="Courier New"/>
              </w:rPr>
            </w:pPr>
            <w:r w:rsidRPr="00D37701">
              <w:rPr>
                <w:rStyle w:val="Strong"/>
                <w:rFonts w:ascii="Courier New" w:hAnsi="Courier New" w:cs="Courier New"/>
              </w:rPr>
              <w:t>Sample Input</w:t>
            </w:r>
          </w:p>
        </w:tc>
        <w:tc>
          <w:tcPr>
            <w:cnfStyle w:val="000010000000"/>
            <w:tcW w:w="4896" w:type="dxa"/>
          </w:tcPr>
          <w:p w:rsidR="00487795" w:rsidRPr="00D37701" w:rsidRDefault="00487795" w:rsidP="00094683">
            <w:pPr>
              <w:rPr>
                <w:rStyle w:val="Strong"/>
                <w:rFonts w:ascii="Courier New" w:hAnsi="Courier New" w:cs="Courier New"/>
              </w:rPr>
            </w:pPr>
            <w:r w:rsidRPr="00D37701">
              <w:rPr>
                <w:rStyle w:val="Strong"/>
                <w:rFonts w:ascii="Courier New" w:hAnsi="Courier New" w:cs="Courier New"/>
              </w:rPr>
              <w:t>Sample Output</w:t>
            </w:r>
          </w:p>
        </w:tc>
      </w:tr>
      <w:tr w:rsidR="00487795" w:rsidRPr="00D37701" w:rsidTr="00094683">
        <w:trPr>
          <w:cnfStyle w:val="000000100000"/>
        </w:trPr>
        <w:tc>
          <w:tcPr>
            <w:cnfStyle w:val="001000000000"/>
            <w:tcW w:w="4680" w:type="dxa"/>
          </w:tcPr>
          <w:p w:rsidR="00487795" w:rsidRPr="00961D17" w:rsidRDefault="00487795" w:rsidP="00094683">
            <w:pPr>
              <w:rPr>
                <w:rStyle w:val="Strong"/>
                <w:rFonts w:ascii="Courier New" w:hAnsi="Courier New" w:cs="Courier New"/>
              </w:rPr>
            </w:pPr>
            <w:bookmarkStart w:id="21" w:name="OLE_LINK1"/>
            <w:bookmarkStart w:id="22" w:name="OLE_LINK2"/>
            <w:bookmarkStart w:id="23" w:name="OLE_LINK5"/>
            <w:bookmarkStart w:id="24" w:name="OLE_LINK6"/>
            <w:r w:rsidRPr="00961D17">
              <w:rPr>
                <w:rStyle w:val="Strong"/>
                <w:rFonts w:ascii="Courier New" w:hAnsi="Courier New" w:cs="Courier New"/>
              </w:rPr>
              <w:t>3</w:t>
            </w:r>
          </w:p>
          <w:p w:rsidR="00487795" w:rsidRPr="00961D17" w:rsidRDefault="00487795" w:rsidP="00094683">
            <w:pPr>
              <w:rPr>
                <w:rStyle w:val="Strong"/>
                <w:rFonts w:ascii="Courier New" w:hAnsi="Courier New" w:cs="Courier New"/>
              </w:rPr>
            </w:pPr>
            <w:r w:rsidRPr="00961D17">
              <w:rPr>
                <w:rStyle w:val="Strong"/>
                <w:rFonts w:ascii="Courier New" w:hAnsi="Courier New" w:cs="Courier New"/>
              </w:rPr>
              <w:t>1 1 1</w:t>
            </w:r>
          </w:p>
          <w:p w:rsidR="00487795" w:rsidRPr="00961D17" w:rsidRDefault="00487795" w:rsidP="00094683">
            <w:pPr>
              <w:rPr>
                <w:rStyle w:val="Strong"/>
                <w:rFonts w:ascii="Courier New" w:hAnsi="Courier New" w:cs="Courier New"/>
              </w:rPr>
            </w:pPr>
            <w:r w:rsidRPr="00961D17">
              <w:rPr>
                <w:rStyle w:val="Strong"/>
                <w:rFonts w:ascii="Courier New" w:hAnsi="Courier New" w:cs="Courier New"/>
              </w:rPr>
              <w:t>3 3</w:t>
            </w:r>
          </w:p>
          <w:p w:rsidR="00487795" w:rsidRPr="00961D17" w:rsidRDefault="00487795" w:rsidP="00094683">
            <w:pPr>
              <w:rPr>
                <w:rStyle w:val="Strong"/>
                <w:rFonts w:ascii="Courier New" w:hAnsi="Courier New" w:cs="Courier New"/>
              </w:rPr>
            </w:pPr>
            <w:r w:rsidRPr="00961D17">
              <w:rPr>
                <w:rStyle w:val="Strong"/>
                <w:rFonts w:ascii="Courier New" w:hAnsi="Courier New" w:cs="Courier New"/>
              </w:rPr>
              <w:t>BRB</w:t>
            </w:r>
          </w:p>
          <w:p w:rsidR="00487795" w:rsidRPr="00961D17" w:rsidRDefault="00487795" w:rsidP="00094683">
            <w:pPr>
              <w:rPr>
                <w:rStyle w:val="Strong"/>
                <w:rFonts w:ascii="Courier New" w:hAnsi="Courier New" w:cs="Courier New"/>
              </w:rPr>
            </w:pPr>
            <w:r w:rsidRPr="00961D17">
              <w:rPr>
                <w:rStyle w:val="Strong"/>
                <w:rFonts w:ascii="Courier New" w:hAnsi="Courier New" w:cs="Courier New"/>
              </w:rPr>
              <w:t>BRB</w:t>
            </w:r>
          </w:p>
          <w:p w:rsidR="00487795" w:rsidRPr="00961D17" w:rsidRDefault="00487795" w:rsidP="00094683">
            <w:pPr>
              <w:rPr>
                <w:rStyle w:val="Strong"/>
                <w:rFonts w:ascii="Courier New" w:hAnsi="Courier New" w:cs="Courier New"/>
              </w:rPr>
            </w:pPr>
            <w:r w:rsidRPr="00961D17">
              <w:rPr>
                <w:rStyle w:val="Strong"/>
                <w:rFonts w:ascii="Courier New" w:hAnsi="Courier New" w:cs="Courier New"/>
              </w:rPr>
              <w:t>RRR</w:t>
            </w:r>
          </w:p>
          <w:p w:rsidR="00487795" w:rsidRPr="00961D17" w:rsidRDefault="00487795" w:rsidP="00094683">
            <w:pPr>
              <w:rPr>
                <w:rStyle w:val="Strong"/>
                <w:rFonts w:ascii="Courier New" w:hAnsi="Courier New" w:cs="Courier New"/>
              </w:rPr>
            </w:pPr>
            <w:r w:rsidRPr="00961D17">
              <w:rPr>
                <w:rStyle w:val="Strong"/>
                <w:rFonts w:ascii="Courier New" w:hAnsi="Courier New" w:cs="Courier New"/>
              </w:rPr>
              <w:t>2 1 1</w:t>
            </w:r>
          </w:p>
          <w:p w:rsidR="00487795" w:rsidRPr="00961D17" w:rsidRDefault="00487795" w:rsidP="00094683">
            <w:pPr>
              <w:rPr>
                <w:rStyle w:val="Strong"/>
                <w:rFonts w:ascii="Courier New" w:hAnsi="Courier New" w:cs="Courier New"/>
              </w:rPr>
            </w:pPr>
            <w:r w:rsidRPr="00961D17">
              <w:rPr>
                <w:rStyle w:val="Strong"/>
                <w:rFonts w:ascii="Courier New" w:hAnsi="Courier New" w:cs="Courier New"/>
              </w:rPr>
              <w:t>3 3</w:t>
            </w:r>
          </w:p>
          <w:p w:rsidR="00487795" w:rsidRPr="00961D17" w:rsidRDefault="00487795" w:rsidP="00094683">
            <w:pPr>
              <w:rPr>
                <w:rStyle w:val="Strong"/>
                <w:rFonts w:ascii="Courier New" w:hAnsi="Courier New" w:cs="Courier New"/>
              </w:rPr>
            </w:pPr>
            <w:r w:rsidRPr="00961D17">
              <w:rPr>
                <w:rStyle w:val="Strong"/>
                <w:rFonts w:ascii="Courier New" w:hAnsi="Courier New" w:cs="Courier New"/>
              </w:rPr>
              <w:t>BRB</w:t>
            </w:r>
          </w:p>
          <w:p w:rsidR="00487795" w:rsidRPr="00961D17" w:rsidRDefault="00487795" w:rsidP="00094683">
            <w:pPr>
              <w:rPr>
                <w:rStyle w:val="Strong"/>
                <w:rFonts w:ascii="Courier New" w:hAnsi="Courier New" w:cs="Courier New"/>
              </w:rPr>
            </w:pPr>
            <w:r w:rsidRPr="00961D17">
              <w:rPr>
                <w:rStyle w:val="Strong"/>
                <w:rFonts w:ascii="Courier New" w:hAnsi="Courier New" w:cs="Courier New"/>
              </w:rPr>
              <w:t>BBB</w:t>
            </w:r>
          </w:p>
          <w:p w:rsidR="00487795" w:rsidRPr="00961D17" w:rsidRDefault="00487795" w:rsidP="00094683">
            <w:pPr>
              <w:rPr>
                <w:rStyle w:val="Strong"/>
                <w:rFonts w:ascii="Courier New" w:hAnsi="Courier New" w:cs="Courier New"/>
              </w:rPr>
            </w:pPr>
            <w:r w:rsidRPr="00961D17">
              <w:rPr>
                <w:rStyle w:val="Strong"/>
                <w:rFonts w:ascii="Courier New" w:hAnsi="Courier New" w:cs="Courier New"/>
              </w:rPr>
              <w:t>RRR</w:t>
            </w:r>
          </w:p>
          <w:p w:rsidR="00487795" w:rsidRPr="00961D17" w:rsidRDefault="00487795" w:rsidP="00094683">
            <w:pPr>
              <w:rPr>
                <w:rStyle w:val="Strong"/>
                <w:rFonts w:ascii="Courier New" w:hAnsi="Courier New" w:cs="Courier New"/>
              </w:rPr>
            </w:pPr>
            <w:r w:rsidRPr="00961D17">
              <w:rPr>
                <w:rStyle w:val="Strong"/>
                <w:rFonts w:ascii="Courier New" w:hAnsi="Courier New" w:cs="Courier New"/>
              </w:rPr>
              <w:t>2 1 1</w:t>
            </w:r>
          </w:p>
          <w:p w:rsidR="00487795" w:rsidRPr="00961D17" w:rsidRDefault="00487795" w:rsidP="00094683">
            <w:pPr>
              <w:rPr>
                <w:rStyle w:val="Strong"/>
                <w:rFonts w:ascii="Courier New" w:hAnsi="Courier New" w:cs="Courier New"/>
              </w:rPr>
            </w:pPr>
            <w:r w:rsidRPr="00961D17">
              <w:rPr>
                <w:rStyle w:val="Strong"/>
                <w:rFonts w:ascii="Courier New" w:hAnsi="Courier New" w:cs="Courier New"/>
              </w:rPr>
              <w:t>3 3</w:t>
            </w:r>
          </w:p>
          <w:p w:rsidR="00487795" w:rsidRPr="00961D17" w:rsidRDefault="00487795" w:rsidP="00094683">
            <w:pPr>
              <w:rPr>
                <w:rStyle w:val="Strong"/>
                <w:rFonts w:ascii="Courier New" w:hAnsi="Courier New" w:cs="Courier New"/>
              </w:rPr>
            </w:pPr>
            <w:r w:rsidRPr="00961D17">
              <w:rPr>
                <w:rStyle w:val="Strong"/>
                <w:rFonts w:ascii="Courier New" w:hAnsi="Courier New" w:cs="Courier New"/>
              </w:rPr>
              <w:t>BRB</w:t>
            </w:r>
          </w:p>
          <w:p w:rsidR="00487795" w:rsidRPr="00961D17" w:rsidRDefault="00487795" w:rsidP="00094683">
            <w:pPr>
              <w:rPr>
                <w:rStyle w:val="Strong"/>
                <w:rFonts w:ascii="Courier New" w:hAnsi="Courier New" w:cs="Courier New"/>
              </w:rPr>
            </w:pPr>
            <w:r w:rsidRPr="00961D17">
              <w:rPr>
                <w:rStyle w:val="Strong"/>
                <w:rFonts w:ascii="Courier New" w:hAnsi="Courier New" w:cs="Courier New"/>
              </w:rPr>
              <w:t>BBB</w:t>
            </w:r>
          </w:p>
          <w:p w:rsidR="00487795" w:rsidRPr="00D37701" w:rsidRDefault="00487795" w:rsidP="00094683">
            <w:pPr>
              <w:rPr>
                <w:rStyle w:val="Strong"/>
                <w:rFonts w:ascii="Courier New" w:hAnsi="Courier New" w:cs="Courier New"/>
                <w:rtl/>
              </w:rPr>
            </w:pPr>
            <w:r w:rsidRPr="00961D17">
              <w:rPr>
                <w:rStyle w:val="Strong"/>
                <w:rFonts w:ascii="Courier New" w:hAnsi="Courier New" w:cs="Courier New"/>
              </w:rPr>
              <w:t>BB</w:t>
            </w:r>
            <w:r>
              <w:rPr>
                <w:rStyle w:val="Strong"/>
                <w:rFonts w:ascii="Courier New" w:hAnsi="Courier New" w:cs="Courier New"/>
              </w:rPr>
              <w:t>B</w:t>
            </w:r>
            <w:bookmarkEnd w:id="21"/>
            <w:bookmarkEnd w:id="22"/>
            <w:bookmarkEnd w:id="23"/>
            <w:bookmarkEnd w:id="24"/>
          </w:p>
        </w:tc>
        <w:tc>
          <w:tcPr>
            <w:cnfStyle w:val="000010000000"/>
            <w:tcW w:w="4896" w:type="dxa"/>
          </w:tcPr>
          <w:p w:rsidR="00487795" w:rsidRDefault="00487795" w:rsidP="00094683">
            <w:pPr>
              <w:rPr>
                <w:rStyle w:val="Strong"/>
                <w:rFonts w:ascii="Courier New" w:hAnsi="Courier New" w:cs="Courier New"/>
                <w:b w:val="0"/>
                <w:bCs w:val="0"/>
              </w:rPr>
            </w:pPr>
            <w:r>
              <w:rPr>
                <w:rStyle w:val="Strong"/>
                <w:rFonts w:ascii="Courier New" w:hAnsi="Courier New" w:cs="Courier New"/>
                <w:b w:val="0"/>
                <w:bCs w:val="0"/>
              </w:rPr>
              <w:t>2</w:t>
            </w:r>
          </w:p>
          <w:p w:rsidR="00487795" w:rsidRDefault="00487795" w:rsidP="00094683">
            <w:pPr>
              <w:rPr>
                <w:rStyle w:val="Strong"/>
                <w:rFonts w:ascii="Courier New" w:hAnsi="Courier New" w:cs="Courier New"/>
                <w:b w:val="0"/>
                <w:bCs w:val="0"/>
              </w:rPr>
            </w:pPr>
            <w:r>
              <w:rPr>
                <w:rStyle w:val="Strong"/>
                <w:rFonts w:ascii="Courier New" w:hAnsi="Courier New" w:cs="Courier New"/>
                <w:b w:val="0"/>
                <w:bCs w:val="0"/>
              </w:rPr>
              <w:t>2</w:t>
            </w:r>
          </w:p>
          <w:p w:rsidR="00487795" w:rsidRPr="00D37701" w:rsidRDefault="00487795" w:rsidP="00094683">
            <w:pPr>
              <w:rPr>
                <w:rStyle w:val="Strong"/>
                <w:rFonts w:ascii="Courier New" w:hAnsi="Courier New" w:cs="Courier New"/>
                <w:b w:val="0"/>
                <w:bCs w:val="0"/>
              </w:rPr>
            </w:pPr>
            <w:r>
              <w:rPr>
                <w:rStyle w:val="Strong"/>
                <w:rFonts w:ascii="Courier New" w:hAnsi="Courier New" w:cs="Courier New"/>
                <w:b w:val="0"/>
                <w:bCs w:val="0"/>
              </w:rPr>
              <w:t>7</w:t>
            </w:r>
          </w:p>
        </w:tc>
      </w:tr>
    </w:tbl>
    <w:p w:rsidR="00487795" w:rsidRPr="000F68F0" w:rsidRDefault="00487795" w:rsidP="00487795"/>
    <w:p w:rsidR="00487795" w:rsidRDefault="00487795" w:rsidP="00487795">
      <w:r>
        <w:br w:type="page"/>
      </w:r>
    </w:p>
    <w:p w:rsidR="006A6A91" w:rsidRDefault="006A6A91"/>
    <w:sectPr w:rsidR="006A6A91" w:rsidSect="00C94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B0215F"/>
    <w:multiLevelType w:val="hybridMultilevel"/>
    <w:tmpl w:val="C7128A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487795"/>
    <w:rsid w:val="000007CA"/>
    <w:rsid w:val="000151FB"/>
    <w:rsid w:val="00052C81"/>
    <w:rsid w:val="00052D94"/>
    <w:rsid w:val="00060D40"/>
    <w:rsid w:val="00086872"/>
    <w:rsid w:val="001002B4"/>
    <w:rsid w:val="001373FA"/>
    <w:rsid w:val="00166A11"/>
    <w:rsid w:val="001B2106"/>
    <w:rsid w:val="001C2D98"/>
    <w:rsid w:val="001C67DE"/>
    <w:rsid w:val="001D32AE"/>
    <w:rsid w:val="001F1EE2"/>
    <w:rsid w:val="002549A7"/>
    <w:rsid w:val="00261487"/>
    <w:rsid w:val="00270A2C"/>
    <w:rsid w:val="00270EF4"/>
    <w:rsid w:val="00300F3F"/>
    <w:rsid w:val="00340537"/>
    <w:rsid w:val="00343B3F"/>
    <w:rsid w:val="00350E53"/>
    <w:rsid w:val="003566AD"/>
    <w:rsid w:val="00392D94"/>
    <w:rsid w:val="003B2421"/>
    <w:rsid w:val="00415B49"/>
    <w:rsid w:val="00416B9A"/>
    <w:rsid w:val="004215CE"/>
    <w:rsid w:val="00453DA3"/>
    <w:rsid w:val="0045663D"/>
    <w:rsid w:val="00487795"/>
    <w:rsid w:val="004A7F07"/>
    <w:rsid w:val="004D0349"/>
    <w:rsid w:val="00534C38"/>
    <w:rsid w:val="00536FDA"/>
    <w:rsid w:val="0057066C"/>
    <w:rsid w:val="005A2278"/>
    <w:rsid w:val="005A422A"/>
    <w:rsid w:val="005B1710"/>
    <w:rsid w:val="005B6717"/>
    <w:rsid w:val="005E6F88"/>
    <w:rsid w:val="005E76CB"/>
    <w:rsid w:val="006036DB"/>
    <w:rsid w:val="006366A8"/>
    <w:rsid w:val="00656AA2"/>
    <w:rsid w:val="00682C58"/>
    <w:rsid w:val="00695EFA"/>
    <w:rsid w:val="006A6A91"/>
    <w:rsid w:val="006D2F17"/>
    <w:rsid w:val="006D6CE2"/>
    <w:rsid w:val="0074140F"/>
    <w:rsid w:val="00765A65"/>
    <w:rsid w:val="007A5291"/>
    <w:rsid w:val="007C3737"/>
    <w:rsid w:val="00802A00"/>
    <w:rsid w:val="00835563"/>
    <w:rsid w:val="0085659D"/>
    <w:rsid w:val="00885A5A"/>
    <w:rsid w:val="00900AE2"/>
    <w:rsid w:val="00921DE7"/>
    <w:rsid w:val="009A4A59"/>
    <w:rsid w:val="009D26F0"/>
    <w:rsid w:val="009E0644"/>
    <w:rsid w:val="00A3261C"/>
    <w:rsid w:val="00A45DF0"/>
    <w:rsid w:val="00A60BEC"/>
    <w:rsid w:val="00A72133"/>
    <w:rsid w:val="00A82FB7"/>
    <w:rsid w:val="00A83715"/>
    <w:rsid w:val="00A915C3"/>
    <w:rsid w:val="00B1470E"/>
    <w:rsid w:val="00B226AA"/>
    <w:rsid w:val="00B26B5B"/>
    <w:rsid w:val="00B616BF"/>
    <w:rsid w:val="00B716C2"/>
    <w:rsid w:val="00B90162"/>
    <w:rsid w:val="00BA5159"/>
    <w:rsid w:val="00BB417C"/>
    <w:rsid w:val="00C45480"/>
    <w:rsid w:val="00C46943"/>
    <w:rsid w:val="00C815F4"/>
    <w:rsid w:val="00C943EA"/>
    <w:rsid w:val="00CB4A9B"/>
    <w:rsid w:val="00CC012A"/>
    <w:rsid w:val="00D12A22"/>
    <w:rsid w:val="00D228F4"/>
    <w:rsid w:val="00D245C2"/>
    <w:rsid w:val="00D325FB"/>
    <w:rsid w:val="00D6340E"/>
    <w:rsid w:val="00D842F2"/>
    <w:rsid w:val="00D863F7"/>
    <w:rsid w:val="00D903A4"/>
    <w:rsid w:val="00DB08B7"/>
    <w:rsid w:val="00E30174"/>
    <w:rsid w:val="00E568E4"/>
    <w:rsid w:val="00E631DC"/>
    <w:rsid w:val="00ED1C4C"/>
    <w:rsid w:val="00F61B70"/>
    <w:rsid w:val="00F637DD"/>
    <w:rsid w:val="00F85A1F"/>
    <w:rsid w:val="00FC5406"/>
    <w:rsid w:val="00FD36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7795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7795"/>
    <w:pPr>
      <w:keepNext/>
      <w:keepLines/>
      <w:spacing w:before="200" w:after="0"/>
      <w:outlineLvl w:val="1"/>
    </w:pPr>
    <w:rPr>
      <w:rFonts w:eastAsiaTheme="majorEastAsia" w:cstheme="majorBidi"/>
      <w:bCs/>
      <w:color w:val="C0000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87795"/>
    <w:rPr>
      <w:rFonts w:eastAsiaTheme="majorEastAsia" w:cstheme="majorBidi"/>
      <w:bCs/>
      <w:color w:val="C00000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877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877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8"/>
      <w:szCs w:val="52"/>
    </w:rPr>
  </w:style>
  <w:style w:type="character" w:styleId="Strong">
    <w:name w:val="Strong"/>
    <w:basedOn w:val="DefaultParagraphFont"/>
    <w:uiPriority w:val="22"/>
    <w:qFormat/>
    <w:rsid w:val="00487795"/>
    <w:rPr>
      <w:b/>
      <w:bCs/>
    </w:rPr>
  </w:style>
  <w:style w:type="table" w:customStyle="1" w:styleId="LightList-Accent11">
    <w:name w:val="Light List - Accent 11"/>
    <w:basedOn w:val="TableNormal"/>
    <w:uiPriority w:val="61"/>
    <w:rsid w:val="0048779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48779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77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79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228F4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Shayan</dc:creator>
  <cp:lastModifiedBy>Shayan</cp:lastModifiedBy>
  <cp:revision>11</cp:revision>
  <cp:lastPrinted>2010-11-19T09:54:00Z</cp:lastPrinted>
  <dcterms:created xsi:type="dcterms:W3CDTF">2010-11-18T19:54:00Z</dcterms:created>
  <dcterms:modified xsi:type="dcterms:W3CDTF">2010-11-19T10:39:00Z</dcterms:modified>
</cp:coreProperties>
</file>