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ComplianceCore</w:t>
        <w:br/>
        <w:t>Compliance Readiness Audit</w:t>
      </w:r>
    </w:p>
    <w:p>
      <w:r>
        <w:t>26 October 2026 | Vanta-referenced product and workflow review</w:t>
      </w:r>
    </w:p>
    <w:p>
      <w:r>
        <w:rPr>
          <w:b/>
          <w:color w:val="B42318"/>
        </w:rPr>
        <w:t>NOT READY FOR UNRESTRICTED PRODUCTION USE</w:t>
      </w:r>
    </w:p>
    <w:p>
      <w:r>
        <w:t>The application is a useful foundation and a demonstrable prototype. I would not approve unrestricted production use or represent it as a complete enterprise compliance system yet. Four high-priority workflow/access issues and four medium-priority input/usability issues remain. Use synthetic data for demonstrations until the blocking issues are closed; a real-data pilot needs an explicit, bounded risk decision and verified controls.</w:t>
      </w:r>
    </w:p>
    <w:p>
      <w:r>
        <w:t>Live address: https://compliancecore-sand.vercel.app/</w:t>
      </w:r>
    </w:p>
    <w:p>
      <w:r>
        <w:t>Reviewed runtime source: 4c9b978 (runtime unchanged by dd19f50 verification commit)</w:t>
      </w:r>
    </w:p>
    <w:p>
      <w:pPr>
        <w:pStyle w:val="Heading1"/>
      </w:pPr>
      <w:r>
        <w:t>What is working conceptually</w:t>
      </w:r>
    </w:p>
    <w:p>
      <w:pPr>
        <w:pStyle w:val="ListBullet"/>
      </w:pPr>
      <w:r>
        <w:t>The simplified dashboard, grouped navigation and role guidance are clearer than the earlier arrangement.</w:t>
      </w:r>
    </w:p>
    <w:p>
      <w:pPr>
        <w:pStyle w:val="ListBullet"/>
      </w:pPr>
      <w:r>
        <w:t>Framework assessment follows scope, duties, risk assessment, treatment and later applicability. Risks remain distinct from requirements coverage.</w:t>
      </w:r>
    </w:p>
    <w:p>
      <w:pPr>
        <w:pStyle w:val="ListBullet"/>
      </w:pPr>
      <w:r>
        <w:t>Policies have approval/publication and exact-version readership concepts. Evidence and several review workflows pin supporting versions.</w:t>
      </w:r>
    </w:p>
    <w:p>
      <w:pPr>
        <w:pStyle w:val="ListBullet"/>
      </w:pPr>
      <w:r>
        <w:t>The product distinguishes internal assessment review from external certification or attestation. Implementation of safeguards remains a legitimate part of compliance work.</w:t>
      </w:r>
    </w:p>
    <w:p>
      <w:pPr>
        <w:pStyle w:val="Heading1"/>
      </w:pPr>
      <w:r>
        <w:t>Confirmed findings and acceptance checks</w:t>
      </w:r>
    </w:p>
    <w:p>
      <w:pPr>
        <w:pStyle w:val="Heading2"/>
      </w:pPr>
      <w:r>
        <w:t>H1 | High | Audit report and completion journey is blocked</w:t>
      </w:r>
    </w:p>
    <w:p>
      <w:r>
        <w:t>The audit edit form has no report-summary input, while independent report review requires a non-empty summary. The form also sends all edited fields when status is changed to completed, but the service permits a reviewed completion request to contain status only. A seeded completed demo audit masks the fresh-user problem.</w:t>
      </w:r>
    </w:p>
    <w:p>
      <w:r>
        <w:t>Required correction: Add a report summary and accountable owner; pick the framework from actual records. Save report changes, obtain independent review, then offer a separate completion action that sends status only.</w:t>
      </w:r>
    </w:p>
    <w:p>
      <w:r>
        <w:t>Closure evidence: A new audit can be created, have its summary and report saved, be reviewed by another authorised person, and be completed entirely through the UI.</w:t>
      </w:r>
    </w:p>
    <w:p>
      <w:r>
        <w:t>Source evidence: frontend/src/features/audits/components/audit-form-modal.tsx:11; backend/src/modules/frameworks/compliance-records.service.ts:982; backend/src/modules/audits/audits.service.ts:60</w:t>
      </w:r>
    </w:p>
    <w:p>
      <w:pPr>
        <w:pStyle w:val="Heading2"/>
      </w:pPr>
      <w:r>
        <w:t>H2 | High | Training participants cannot be assigned through the connected UI</w:t>
      </w:r>
    </w:p>
    <w:p>
      <w:r>
        <w:t>The training page creates and edits programmes but offers no participant-assignment journey. An assignment API and hook exist, but the hook has no page/component caller. The verification workflow expects records that already exist, so a new organisation cannot complete the advertised journey without operator/API help.</w:t>
      </w:r>
    </w:p>
    <w:p>
      <w:r>
        <w:t>Required correction: Connect programme -&gt; assign people and due dates -&gt; participant records -&gt; evidence -&gt; independent verification. Keep unverified assignments separate from completions.</w:t>
      </w:r>
    </w:p>
    <w:p>
      <w:r>
        <w:t>Closure evidence: A newly created programme can be assigned to active members and completed with independently verified proof using normal screens.</w:t>
      </w:r>
    </w:p>
    <w:p>
      <w:r>
        <w:t>Source evidence: frontend/src/features/training/pages/training.page.tsx:16; frontend/src/features/training/hooks/use-training.ts:84</w:t>
      </w:r>
    </w:p>
    <w:p>
      <w:pPr>
        <w:pStyle w:val="Heading2"/>
      </w:pPr>
      <w:r>
        <w:t>H3 | High | Ordinary control updates can bypass applicability decision controls</w:t>
      </w:r>
    </w:p>
    <w:p>
      <w:r>
        <w:t>An assigned control owner can change their control status to not applicable using the normal update service with only a justification. This path does not call the framework applicability service or its preceding risk/obligation checks and PCI evidence rule. The final framework gate detects inconsistent SoA records, but the control status and dashboard denominator can already change. This is not evidence of a successful certification-signoff bypass.</w:t>
      </w:r>
    </w:p>
    <w:p>
      <w:r>
        <w:t>Required correction: Centralise applicability changes in the authorised applicability workflow. Prevent ordinary control-owner edits from excluding a requirement. Keep pending exclusions visible and out of approved-scope scoring.</w:t>
      </w:r>
    </w:p>
    <w:p>
      <w:r>
        <w:t>Closure evidence: A direct PATCH and the ordinary edit form cannot exclude a mapped control without the appropriate applicability authorisation and required proof.</w:t>
      </w:r>
    </w:p>
    <w:p>
      <w:r>
        <w:t>Source evidence: backend/src/modules/controls/controls.service.ts:11; backend/src/modules/controls/controls.service.ts:45; backend/src/modules/frameworks/implementation.service.ts:95</w:t>
      </w:r>
    </w:p>
    <w:p>
      <w:pPr>
        <w:pStyle w:val="Heading2"/>
      </w:pPr>
      <w:r>
        <w:t>H4 | High | Concurrent owner changes can defeat the last-owner safeguard</w:t>
      </w:r>
    </w:p>
    <w:p>
      <w:r>
        <w:t>The owner count and membership update are separate operations. A controlled concurrency probe executed two co-owner demotions that both observed two owners, leaving zero in the repository fixture. The service does not serialise those checks and updates. No production owner account was changed during this audit.</w:t>
      </w:r>
    </w:p>
    <w:p>
      <w:r>
        <w:t>Required correction: Perform ownership changes under a transaction and a per-tenant lock or equivalent invariant enforcement. Preserve session revocation after a successful authorised change.</w:t>
      </w:r>
    </w:p>
    <w:p>
      <w:r>
        <w:t>Closure evidence: Concurrent demotion/removal tests against an isolated real database always retain at least one active owner; rollback and revoked-session behaviour are verified.</w:t>
      </w:r>
    </w:p>
    <w:p>
      <w:r>
        <w:t>Source evidence: backend/src/modules/settings/settings.service.ts:97; backend/src/modules/settings/settings.repository.ts:152</w:t>
      </w:r>
    </w:p>
    <w:p>
      <w:pPr>
        <w:pStyle w:val="Heading2"/>
      </w:pPr>
      <w:r>
        <w:t>M1 | Medium | An optional training-frequency field rejects a blank value</w:t>
      </w:r>
    </w:p>
    <w:p>
      <w:r>
        <w:t>The actual client schema coerces an empty frequency string into zero and then rejects it because frequency must be at least one. Omission is accepted, so the optional form field behaves inconsistently for one-time training.</w:t>
      </w:r>
    </w:p>
    <w:p>
      <w:r>
        <w:t>Required correction: Convert blank optional numeric inputs to undefined/null before number validation; explain recurrence and units.</w:t>
      </w:r>
    </w:p>
    <w:p>
      <w:r>
        <w:t>Closure evidence: A one-time programme saves with blank frequency; zero, negative and invalid populated values are rejected clearly.</w:t>
      </w:r>
    </w:p>
    <w:p>
      <w:r>
        <w:t>Source evidence: frontend/src/features/training/components/training-form-modal.tsx:18</w:t>
      </w:r>
    </w:p>
    <w:p>
      <w:pPr>
        <w:pStyle w:val="Heading2"/>
      </w:pPr>
      <w:r>
        <w:t>M2 | Medium | Audit and calendar date ranges are not validated chronologically</w:t>
      </w:r>
    </w:p>
    <w:p>
      <w:r>
        <w:t>Both schemas accepted an end date earlier than the start date in local probes. The inspected services add no chronological check. These probes validate schema/service logic, not a live database insert.</w:t>
      </w:r>
    </w:p>
    <w:p>
      <w:r>
        <w:t>Required correction: Validate start/end ordering in the UI and service on both create and partial updates; compare against stored dates where needed.</w:t>
      </w:r>
    </w:p>
    <w:p>
      <w:r>
        <w:t>Closure evidence: Reversed ranges are rejected with a field-specific message, and valid historical ranges remain possible.</w:t>
      </w:r>
    </w:p>
    <w:p>
      <w:r>
        <w:t>Source evidence: backend/src/modules/audits/audits.schema.ts:5; backend/src/modules/calendar/calendar.schema.ts:5</w:t>
      </w:r>
    </w:p>
    <w:p>
      <w:pPr>
        <w:pStyle w:val="Heading2"/>
      </w:pPr>
      <w:r>
        <w:t>M3 | Medium | Several visible actions do not match role permissions</w:t>
      </w:r>
    </w:p>
    <w:p>
      <w:r>
        <w:t>Examples: notification preferences exposes Save to a compliance manager with settings:read but no settings:write; the score page offers Take Snapshot to read-only roles although the API requires controls:write; the framework evidence step includes an attachment action for msp_analyst despite no evidence:write permission. API rejection protects the operation, but users are offered actions that cannot succeed.</w:t>
      </w:r>
    </w:p>
    <w:p>
      <w:r>
        <w:t>Required correction: Use the same permission checks for action visibility, form editability, direct-page access and API calls. Retain readable views for read-only roles.</w:t>
      </w:r>
    </w:p>
    <w:p>
      <w:r>
        <w:t>Closure evidence: Every role sees a usable action set; forbidden write attempts stay blocked by the API even if a user crafts a request.</w:t>
      </w:r>
    </w:p>
    <w:p>
      <w:r>
        <w:t>Source evidence: frontend/src/features/settings/pages/settings-notifications.page.tsx:174; frontend/src/features/compliance-score/pages/score.page.tsx:40; frontend/src/features/frameworks/components/compliance-workspace.tsx:48; backend/src/modules/compliance-score/score.router.ts:15</w:t>
      </w:r>
    </w:p>
    <w:p>
      <w:pPr>
        <w:pStyle w:val="Heading2"/>
      </w:pPr>
      <w:r>
        <w:t>M4 | Medium | Form labels and page landmarks need accessibility corrections</w:t>
      </w:r>
    </w:p>
    <w:p>
      <w:r>
        <w:t>Several reusable FormField helpers render a label beside an input without htmlFor/id association or wrapping it. Visible text is therefore not necessarily the field accessible name. The evidence screen also nests a main landmark inside the application main. These affect assistive technology and reliable keyboard/form automation.</w:t>
      </w:r>
    </w:p>
    <w:p>
      <w:r>
        <w:t>Required correction: Associate every label, hint and error with its field; give dialogs accessible names and focus behaviour; use one main landmark.</w:t>
      </w:r>
    </w:p>
    <w:p>
      <w:r>
        <w:t>Closure evidence: Keyboard and screen-reader checks pass on create/edit/review forms; getByLabel works for each named input; dialog focus is trapped and restored appropriately.</w:t>
      </w:r>
    </w:p>
    <w:p>
      <w:r>
        <w:t>Source evidence: frontend/src/features/audits/components/audit-form-modal.tsx:209; frontend/src/features/training/components/training-form-modal.tsx:208</w:t>
      </w:r>
    </w:p>
    <w:p>
      <w:pPr>
        <w:pStyle w:val="Heading1"/>
      </w:pPr>
      <w:r>
        <w:t>Vanta benchmark and product priorities</w:t>
      </w:r>
    </w:p>
    <w:p>
      <w:r>
        <w:t>Vanta is a reference for coherent workflows and collaboration, not a requirement to copy every feature, approval rule or paid-plan capability. The comparison below uses public documentation only; no private Vanta workspace was inspected.</w:t>
      </w:r>
    </w:p>
    <w:p>
      <w:pPr>
        <w:pStyle w:val="Heading2"/>
      </w:pPr>
      <w:r>
        <w:t>Overview and next actions</w:t>
      </w:r>
    </w:p>
    <w:p>
      <w:r>
        <w:t>The dashboard gives labelled status cards and assessment next steps. Keep recorded status distinct from verified evidence.</w:t>
      </w:r>
    </w:p>
    <w:p>
      <w:r>
        <w:t>Priority: Useful foundation; applicability accuracy needs H3.</w:t>
      </w:r>
    </w:p>
    <w:p>
      <w:pPr>
        <w:pStyle w:val="Heading2"/>
      </w:pPr>
      <w:r>
        <w:t>Policies and employee acceptance</w:t>
      </w:r>
    </w:p>
    <w:p>
      <w:r>
        <w:t>Vanta links drafting, approval, published policies and employee acceptance. ComplianceCore already has corresponding versioned approval/readership records.</w:t>
      </w:r>
    </w:p>
    <w:p>
      <w:r>
        <w:t>Priority: Broadly aligned in concept; retain the stricter independent-review policy where chosen.</w:t>
      </w:r>
    </w:p>
    <w:p>
      <w:pPr>
        <w:pStyle w:val="Heading2"/>
      </w:pPr>
      <w:r>
        <w:t>Risk ownership and assessment</w:t>
      </w:r>
    </w:p>
    <w:p>
      <w:r>
        <w:t>Vanta supports owners preparing assessments and designated approvers reviewing them. ComplianceCore has asset scenarios, ratings, treatment links and independent reviews, but preparation is coordinator-led.</w:t>
      </w:r>
    </w:p>
    <w:p>
      <w:r>
        <w:t>Priority: Add explicit risk-owner participation/acceptance and organisation-approved scoring/acceptance criteria. Do not equate a free-text note with every required governance decision.</w:t>
      </w:r>
    </w:p>
    <w:p>
      <w:pPr>
        <w:pStyle w:val="Heading2"/>
      </w:pPr>
      <w:r>
        <w:t>Audit workspace and evidence review</w:t>
      </w:r>
    </w:p>
    <w:p>
      <w:r>
        <w:t>Vanta provides audit-scoped evidence, requests, review states and collaboration. ComplianceCore stores proof and review decisions, but its fresh audit journey is blocked and collaboration is more limited.</w:t>
      </w:r>
    </w:p>
    <w:p>
      <w:r>
        <w:t>Priority: Fix H1 first. Add a coherent audit workspace with request, submission, return/comment and approval context, with deliberate auditor sharing scope.</w:t>
      </w:r>
    </w:p>
    <w:p>
      <w:pPr>
        <w:pStyle w:val="Heading2"/>
      </w:pPr>
      <w:r>
        <w:t>People and training</w:t>
      </w:r>
    </w:p>
    <w:p>
      <w:r>
        <w:t>ComplianceCore has programme and verification concepts but lacks a connected participant-assignment journey.</w:t>
      </w:r>
    </w:p>
    <w:p>
      <w:r>
        <w:t>Priority: Fix H2 and M1 before using it as the training compliance record.</w:t>
      </w:r>
    </w:p>
    <w:p>
      <w:pPr>
        <w:pStyle w:val="Heading2"/>
      </w:pPr>
      <w:r>
        <w:t>Evidence and automation</w:t>
      </w:r>
    </w:p>
    <w:p>
      <w:r>
        <w:t>Vanta documents connected evidence collection and continuing tests. ComplianceCore has manual uploads, version-pinned proof, APIs and webhooks; broad automated collection was not established in this audit.</w:t>
      </w:r>
    </w:p>
    <w:p>
      <w:r>
        <w:t>Priority: Describe manual and automated coverage accurately. Add only verified connectors; show last collection time, collection failures and evidence age.</w:t>
      </w:r>
    </w:p>
    <w:p>
      <w:pPr>
        <w:pStyle w:val="Heading2"/>
      </w:pPr>
      <w:r>
        <w:t>Roles and access</w:t>
      </w:r>
    </w:p>
    <w:p>
      <w:r>
        <w:t>ComplianceCore has organisation-bound roles and API checks. Some UI actions mismatch them, and ownership changes have a concurrency defect in the service probe.</w:t>
      </w:r>
    </w:p>
    <w:p>
      <w:r>
        <w:t>Priority: Close H4 and M3. Use real multi-user acceptance tests and granular audit sharing before enterprise rollout.</w:t>
      </w:r>
    </w:p>
    <w:p>
      <w:pPr>
        <w:pStyle w:val="Heading2"/>
      </w:pPr>
      <w:r>
        <w:t>Framework-specific completeness</w:t>
      </w:r>
    </w:p>
    <w:p>
      <w:r>
        <w:t>A framework catalogue and a generic workflow do not establish complete/current coverage for privacy, financial, continuity or security obligations. Existing profile notes warn about older catalogue editions.</w:t>
      </w:r>
    </w:p>
    <w:p>
      <w:r>
        <w:t>Priority: Validate licensed/current requirements and organisation applicability. Retain scheme-specific evidence and do not promise certification or automatic legal compliance.</w:t>
      </w:r>
    </w:p>
    <w:p>
      <w:pPr>
        <w:pStyle w:val="Heading1"/>
      </w:pPr>
      <w:r>
        <w:t>Page-by-page review coverage</w:t>
      </w:r>
    </w:p>
    <w:p>
      <w:r>
        <w:t>Status below means the current local UI rendered with the managed demo API. It does not mean the complete saved-data lifecycle passed. Fields and linked actions were also reviewed in source. See the evidence inventory for exact observations.</w:t>
      </w:r>
    </w:p>
    <w:tbl>
      <w:tblPr>
        <w:tblStyle w:val="LightShading-Accent1"/>
        <w:tblW w:type="auto" w:w="0"/>
        <w:tblLook w:firstColumn="1" w:firstRow="1" w:lastColumn="0" w:lastRow="0" w:noHBand="0" w:noVBand="1" w:val="04A0"/>
      </w:tblPr>
      <w:tblGrid>
        <w:gridCol w:w="3408"/>
        <w:gridCol w:w="3408"/>
        <w:gridCol w:w="3408"/>
      </w:tblGrid>
      <w:tr>
        <w:trPr>
          <w:cantSplit/>
        </w:trPr>
        <w:tc>
          <w:tcPr>
            <w:tcW w:type="dxa" w:w="3408"/>
          </w:tcPr>
          <w:p>
            <w:r>
              <w:t>Page</w:t>
            </w:r>
          </w:p>
        </w:tc>
        <w:tc>
          <w:tcPr>
            <w:tcW w:type="dxa" w:w="3408"/>
          </w:tcPr>
          <w:p>
            <w:r>
              <w:t>Inspection</w:t>
            </w:r>
          </w:p>
        </w:tc>
        <w:tc>
          <w:tcPr>
            <w:tcW w:type="dxa" w:w="3408"/>
          </w:tcPr>
          <w:p>
            <w:r>
              <w:t>Assessment</w:t>
            </w:r>
          </w:p>
        </w:tc>
      </w:tr>
      <w:tr>
        <w:trPr>
          <w:cantSplit/>
        </w:trPr>
        <w:tc>
          <w:tcPr>
            <w:tcW w:type="dxa" w:w="3408"/>
          </w:tcPr>
          <w:p>
            <w:r>
              <w:t>/dashboard</w:t>
            </w:r>
          </w:p>
        </w:tc>
        <w:tc>
          <w:tcPr>
            <w:tcW w:type="dxa" w:w="3408"/>
          </w:tcPr>
          <w:p>
            <w:r>
              <w:t>Rendered (read-only)</w:t>
            </w:r>
          </w:p>
        </w:tc>
        <w:tc>
          <w:tcPr>
            <w:tcW w:type="dxa" w:w="3408"/>
          </w:tcPr>
          <w:p>
            <w:r>
              <w:t>Clearer layout; current progress remains dependent on approved applicability (H3).</w:t>
            </w:r>
          </w:p>
        </w:tc>
      </w:tr>
      <w:tr>
        <w:trPr>
          <w:cantSplit/>
        </w:trPr>
        <w:tc>
          <w:tcPr>
            <w:tcW w:type="dxa" w:w="3408"/>
          </w:tcPr>
          <w:p>
            <w:r>
              <w:t>/frameworks</w:t>
            </w:r>
          </w:p>
        </w:tc>
        <w:tc>
          <w:tcPr>
            <w:tcW w:type="dxa" w:w="3408"/>
          </w:tcPr>
          <w:p>
            <w:r>
              <w:t>Rendered (read-only)</w:t>
            </w:r>
          </w:p>
        </w:tc>
        <w:tc>
          <w:tcPr>
            <w:tcW w:type="dxa" w:w="3408"/>
          </w:tcPr>
          <w:p>
            <w:r>
              <w:t>Scope -&gt; duties -&gt; risks -&gt; treatment -&gt; applicability ordering is sensible. Verify full requirements coverage and specialist review.</w:t>
            </w:r>
          </w:p>
        </w:tc>
      </w:tr>
      <w:tr>
        <w:trPr>
          <w:cantSplit/>
        </w:trPr>
        <w:tc>
          <w:tcPr>
            <w:tcW w:type="dxa" w:w="3408"/>
          </w:tcPr>
          <w:p>
            <w:r>
              <w:t>/risks</w:t>
            </w:r>
          </w:p>
        </w:tc>
        <w:tc>
          <w:tcPr>
            <w:tcW w:type="dxa" w:w="3408"/>
          </w:tcPr>
          <w:p>
            <w:r>
              <w:t>Rendered (read-only)</w:t>
            </w:r>
          </w:p>
        </w:tc>
        <w:tc>
          <w:tcPr>
            <w:tcW w:type="dxa" w:w="3408"/>
          </w:tcPr>
          <w:p>
            <w:r>
              <w:t>Scenario, asset, likelihood, impact and treatment inputs are useful. Add explicit owner governance and approved scoring criteria.</w:t>
            </w:r>
          </w:p>
        </w:tc>
      </w:tr>
      <w:tr>
        <w:trPr>
          <w:cantSplit/>
        </w:trPr>
        <w:tc>
          <w:tcPr>
            <w:tcW w:type="dxa" w:w="3408"/>
          </w:tcPr>
          <w:p>
            <w:r>
              <w:t>/policies</w:t>
            </w:r>
          </w:p>
        </w:tc>
        <w:tc>
          <w:tcPr>
            <w:tcW w:type="dxa" w:w="3408"/>
          </w:tcPr>
          <w:p>
            <w:r>
              <w:t>Rendered (read-only)</w:t>
            </w:r>
          </w:p>
        </w:tc>
        <w:tc>
          <w:tcPr>
            <w:tcW w:type="dxa" w:w="3408"/>
          </w:tcPr>
          <w:p>
            <w:r>
              <w:t>Draft, approval, publication and readership concepts are present; labels need M4 review.</w:t>
            </w:r>
          </w:p>
        </w:tc>
      </w:tr>
      <w:tr>
        <w:trPr>
          <w:cantSplit/>
        </w:trPr>
        <w:tc>
          <w:tcPr>
            <w:tcW w:type="dxa" w:w="3408"/>
          </w:tcPr>
          <w:p>
            <w:r>
              <w:t>/policy-templates</w:t>
            </w:r>
          </w:p>
        </w:tc>
        <w:tc>
          <w:tcPr>
            <w:tcW w:type="dxa" w:w="3408"/>
          </w:tcPr>
          <w:p>
            <w:r>
              <w:t>Rendered (read-only)</w:t>
            </w:r>
          </w:p>
        </w:tc>
        <w:tc>
          <w:tcPr>
            <w:tcW w:type="dxa" w:w="3408"/>
          </w:tcPr>
          <w:p>
            <w:r>
              <w:t>Useful starting documents; tailor placeholders and approve before use. Downloads are not proof of implementation.</w:t>
            </w:r>
          </w:p>
        </w:tc>
      </w:tr>
      <w:tr>
        <w:trPr>
          <w:cantSplit/>
        </w:trPr>
        <w:tc>
          <w:tcPr>
            <w:tcW w:type="dxa" w:w="3408"/>
          </w:tcPr>
          <w:p>
            <w:r>
              <w:t>/controls</w:t>
            </w:r>
          </w:p>
        </w:tc>
        <w:tc>
          <w:tcPr>
            <w:tcW w:type="dxa" w:w="3408"/>
          </w:tcPr>
          <w:p>
            <w:r>
              <w:t>Rendered (read-only)</w:t>
            </w:r>
          </w:p>
        </w:tc>
        <w:tc>
          <w:tcPr>
            <w:tcW w:type="dxa" w:w="3408"/>
          </w:tcPr>
          <w:p>
            <w:r>
              <w:t>H3: ordinary N/A updates bypass the intended applicability decision path.</w:t>
            </w:r>
          </w:p>
        </w:tc>
      </w:tr>
      <w:tr>
        <w:trPr>
          <w:cantSplit/>
        </w:trPr>
        <w:tc>
          <w:tcPr>
            <w:tcW w:type="dxa" w:w="3408"/>
          </w:tcPr>
          <w:p>
            <w:r>
              <w:t>/evidence</w:t>
            </w:r>
          </w:p>
        </w:tc>
        <w:tc>
          <w:tcPr>
            <w:tcW w:type="dxa" w:w="3408"/>
          </w:tcPr>
          <w:p>
            <w:r>
              <w:t>Rendered (read-only)</w:t>
            </w:r>
          </w:p>
        </w:tc>
        <w:tc>
          <w:tcPr>
            <w:tcW w:type="dxa" w:w="3408"/>
          </w:tcPr>
          <w:p>
            <w:r>
              <w:t>Versioned proof is useful. Evidence rechecked after a harness selector error; fix nested main and label semantics (M4).</w:t>
            </w:r>
          </w:p>
        </w:tc>
      </w:tr>
      <w:tr>
        <w:trPr>
          <w:cantSplit/>
        </w:trPr>
        <w:tc>
          <w:tcPr>
            <w:tcW w:type="dxa" w:w="3408"/>
          </w:tcPr>
          <w:p>
            <w:r>
              <w:t>/tasks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/approvals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/signatures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/audits</w:t>
            </w:r>
          </w:p>
        </w:tc>
        <w:tc>
          <w:tcPr>
            <w:tcW w:type="dxa" w:w="3408"/>
          </w:tcPr>
          <w:p>
            <w:r>
              <w:t>Rendered (read-only)</w:t>
            </w:r>
          </w:p>
        </w:tc>
        <w:tc>
          <w:tcPr>
            <w:tcW w:type="dxa" w:w="3408"/>
          </w:tcPr>
          <w:p>
            <w:r>
              <w:t>H1: summary input and the completion action do not support the service requirements.</w:t>
            </w:r>
          </w:p>
        </w:tc>
      </w:tr>
      <w:tr>
        <w:trPr>
          <w:cantSplit/>
        </w:trPr>
        <w:tc>
          <w:tcPr>
            <w:tcW w:type="dxa" w:w="3408"/>
          </w:tcPr>
          <w:p>
            <w:r>
              <w:t>/vendors</w:t>
            </w:r>
          </w:p>
        </w:tc>
        <w:tc>
          <w:tcPr>
            <w:tcW w:type="dxa" w:w="3408"/>
          </w:tcPr>
          <w:p>
            <w:r>
              <w:t>Rendered (read-only)</w:t>
            </w:r>
          </w:p>
        </w:tc>
        <w:tc>
          <w:tcPr>
            <w:tcW w:type="dxa" w:w="3408"/>
          </w:tcPr>
          <w:p>
            <w:r>
              <w:t>Questionnaire asks relevant service/data/assurance/contract/continuity questions. Improve explicit accountable-owner assignment and field labels.</w:t>
            </w:r>
          </w:p>
        </w:tc>
      </w:tr>
      <w:tr>
        <w:trPr>
          <w:cantSplit/>
        </w:trPr>
        <w:tc>
          <w:tcPr>
            <w:tcW w:type="dxa" w:w="3408"/>
          </w:tcPr>
          <w:p>
            <w:r>
              <w:t>/incidents</w:t>
            </w:r>
          </w:p>
        </w:tc>
        <w:tc>
          <w:tcPr>
            <w:tcW w:type="dxa" w:w="3408"/>
          </w:tcPr>
          <w:p>
            <w:r>
              <w:t>Rendered (read-only)</w:t>
            </w:r>
          </w:p>
        </w:tc>
        <w:tc>
          <w:tcPr>
            <w:tcW w:type="dxa" w:w="3408"/>
          </w:tcPr>
          <w:p>
            <w:r>
              <w:t>Decision-specific notification facts and verified deadlines are better than assuming a universal deadline. A qualified person must confirm the duty.</w:t>
            </w:r>
          </w:p>
        </w:tc>
      </w:tr>
      <w:tr>
        <w:trPr>
          <w:cantSplit/>
        </w:trPr>
        <w:tc>
          <w:tcPr>
            <w:tcW w:type="dxa" w:w="3408"/>
          </w:tcPr>
          <w:p>
            <w:r>
              <w:t>/training</w:t>
            </w:r>
          </w:p>
        </w:tc>
        <w:tc>
          <w:tcPr>
            <w:tcW w:type="dxa" w:w="3408"/>
          </w:tcPr>
          <w:p>
            <w:r>
              <w:t>Rendered (read-only)</w:t>
            </w:r>
          </w:p>
        </w:tc>
        <w:tc>
          <w:tcPr>
            <w:tcW w:type="dxa" w:w="3408"/>
          </w:tcPr>
          <w:p>
            <w:r>
              <w:t>H2 and M1: participant assignment is missing; blank optional frequency fails client validation.</w:t>
            </w:r>
          </w:p>
        </w:tc>
      </w:tr>
      <w:tr>
        <w:trPr>
          <w:cantSplit/>
        </w:trPr>
        <w:tc>
          <w:tcPr>
            <w:tcW w:type="dxa" w:w="3408"/>
          </w:tcPr>
          <w:p>
            <w:r>
              <w:t>/expiry</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/calendar</w:t>
            </w:r>
          </w:p>
        </w:tc>
        <w:tc>
          <w:tcPr>
            <w:tcW w:type="dxa" w:w="3408"/>
          </w:tcPr>
          <w:p>
            <w:r>
              <w:t>Rendered (read-only)</w:t>
            </w:r>
          </w:p>
        </w:tc>
        <w:tc>
          <w:tcPr>
            <w:tcW w:type="dxa" w:w="3408"/>
          </w:tcPr>
          <w:p>
            <w:r>
              <w:t>M2: end/start ordering validation is missing.</w:t>
            </w:r>
          </w:p>
        </w:tc>
      </w:tr>
      <w:tr>
        <w:trPr>
          <w:cantSplit/>
        </w:trPr>
        <w:tc>
          <w:tcPr>
            <w:tcW w:type="dxa" w:w="3408"/>
          </w:tcPr>
          <w:p>
            <w:r>
              <w:t>/reports</w:t>
            </w:r>
          </w:p>
        </w:tc>
        <w:tc>
          <w:tcPr>
            <w:tcW w:type="dxa" w:w="3408"/>
          </w:tcPr>
          <w:p>
            <w:r>
              <w:t>Rendered (read-only)</w:t>
            </w:r>
          </w:p>
        </w:tc>
        <w:tc>
          <w:tcPr>
            <w:tcW w:type="dxa" w:w="3408"/>
          </w:tcPr>
          <w:p>
            <w:r>
              <w:t>Useful management view; reconcile metric definitions and review underlying proof before relying on a conclusion.</w:t>
            </w:r>
          </w:p>
        </w:tc>
      </w:tr>
      <w:tr>
        <w:trPr>
          <w:cantSplit/>
        </w:trPr>
        <w:tc>
          <w:tcPr>
            <w:tcW w:type="dxa" w:w="3408"/>
          </w:tcPr>
          <w:p>
            <w:r>
              <w:t>/analytics</w:t>
            </w:r>
          </w:p>
        </w:tc>
        <w:tc>
          <w:tcPr>
            <w:tcW w:type="dxa" w:w="3408"/>
          </w:tcPr>
          <w:p>
            <w:r>
              <w:t>Rendered (read-only)</w:t>
            </w:r>
          </w:p>
        </w:tc>
        <w:tc>
          <w:tcPr>
            <w:tcW w:type="dxa" w:w="3408"/>
          </w:tcPr>
          <w:p>
            <w:r>
              <w:t>Charts summarise records and statuses; they do not independently verify operation.</w:t>
            </w:r>
          </w:p>
        </w:tc>
      </w:tr>
      <w:tr>
        <w:trPr>
          <w:cantSplit/>
        </w:trPr>
        <w:tc>
          <w:tcPr>
            <w:tcW w:type="dxa" w:w="3408"/>
          </w:tcPr>
          <w:p>
            <w:r>
              <w:t>/compliance-score</w:t>
            </w:r>
          </w:p>
        </w:tc>
        <w:tc>
          <w:tcPr>
            <w:tcW w:type="dxa" w:w="3408"/>
          </w:tcPr>
          <w:p>
            <w:r>
              <w:t>Rendered (read-only)</w:t>
            </w:r>
          </w:p>
        </w:tc>
        <w:tc>
          <w:tcPr>
            <w:tcW w:type="dxa" w:w="3408"/>
          </w:tcPr>
          <w:p>
            <w:r>
              <w:t>M3: Take Snapshot is offered to roles without the required write permission. Keep scoring methodology explicit.</w:t>
            </w:r>
          </w:p>
        </w:tc>
      </w:tr>
      <w:tr>
        <w:trPr>
          <w:cantSplit/>
        </w:trPr>
        <w:tc>
          <w:tcPr>
            <w:tcW w:type="dxa" w:w="3408"/>
          </w:tcPr>
          <w:p>
            <w:r>
              <w:t>/notifications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/branches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/departments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/integrations</w:t>
            </w:r>
          </w:p>
        </w:tc>
        <w:tc>
          <w:tcPr>
            <w:tcW w:type="dxa" w:w="3408"/>
          </w:tcPr>
          <w:p>
            <w:r>
              <w:t>Rendered (read-only)</w:t>
            </w:r>
          </w:p>
        </w:tc>
        <w:tc>
          <w:tcPr>
            <w:tcW w:type="dxa" w:w="3408"/>
          </w:tcPr>
          <w:p>
            <w:r>
              <w:t>API/webhooks are not equivalent to a verified continuous evidence-collection platform. Keep coming-soon capabilities explicit.</w:t>
            </w:r>
          </w:p>
        </w:tc>
      </w:tr>
      <w:tr>
        <w:trPr>
          <w:cantSplit/>
        </w:trPr>
        <w:tc>
          <w:tcPr>
            <w:tcW w:type="dxa" w:w="3408"/>
          </w:tcPr>
          <w:p>
            <w:r>
              <w:t>/escalations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/ai-tools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/settings/organization</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/settings/team</w:t>
            </w:r>
          </w:p>
        </w:tc>
        <w:tc>
          <w:tcPr>
            <w:tcW w:type="dxa" w:w="3408"/>
          </w:tcPr>
          <w:p>
            <w:r>
              <w:t>Rendered (read-only)</w:t>
            </w:r>
          </w:p>
        </w:tc>
        <w:tc>
          <w:tcPr>
            <w:tcW w:type="dxa" w:w="3408"/>
          </w:tcPr>
          <w:p>
            <w:r>
              <w:t>H4: serialise ownership mutations. Existing role descriptions and ordinary API guards are useful.</w:t>
            </w:r>
          </w:p>
        </w:tc>
      </w:tr>
      <w:tr>
        <w:trPr>
          <w:cantSplit/>
        </w:trPr>
        <w:tc>
          <w:tcPr>
            <w:tcW w:type="dxa" w:w="3408"/>
          </w:tcPr>
          <w:p>
            <w:r>
              <w:t>/settings/security</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/settings/sso</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/settings/api-keys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/settings/webhooks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/settings/notifications</w:t>
            </w:r>
          </w:p>
        </w:tc>
        <w:tc>
          <w:tcPr>
            <w:tcW w:type="dxa" w:w="3408"/>
          </w:tcPr>
          <w:p>
            <w:r>
              <w:t>Rendered (read-only)</w:t>
            </w:r>
          </w:p>
        </w:tc>
        <w:tc>
          <w:tcPr>
            <w:tcW w:type="dxa" w:w="3408"/>
          </w:tcPr>
          <w:p>
            <w:r>
              <w:t>M3: save is offered to a read-only compliance manager.</w:t>
            </w:r>
          </w:p>
        </w:tc>
      </w:tr>
      <w:tr>
        <w:trPr>
          <w:cantSplit/>
        </w:trPr>
        <w:tc>
          <w:tcPr>
            <w:tcW w:type="dxa" w:w="3408"/>
          </w:tcPr>
          <w:p>
            <w:r>
              <w:t>/billing</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/billing/plans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/billing/invoices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/billing/payment-methods</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r>
        <w:trPr>
          <w:cantSplit/>
        </w:trPr>
        <w:tc>
          <w:tcPr>
            <w:tcW w:type="dxa" w:w="3408"/>
          </w:tcPr>
          <w:p>
            <w:r>
              <w:t>/guide</w:t>
            </w:r>
          </w:p>
        </w:tc>
        <w:tc>
          <w:tcPr>
            <w:tcW w:type="dxa" w:w="3408"/>
          </w:tcPr>
          <w:p>
            <w:r>
              <w:t>Rendered (read-only)</w:t>
            </w:r>
          </w:p>
        </w:tc>
        <w:tc>
          <w:tcPr>
            <w:tcW w:type="dxa" w:w="3408"/>
          </w:tcPr>
          <w:p>
            <w:r>
              <w:t>No additional blocking defect confirmed in this limited inspection; this does not certify every input, role, or saved-data lifecycle.</w:t>
            </w:r>
          </w:p>
        </w:tc>
      </w:tr>
    </w:tbl>
    <w:p>
      <w:pPr>
        <w:pStyle w:val="Heading1"/>
      </w:pPr>
      <w:r>
        <w:t>Conditions before routine use</w:t>
      </w:r>
    </w:p>
    <w:p>
      <w:pPr>
        <w:pStyle w:val="ListNumber"/>
      </w:pPr>
      <w:r>
        <w:t>Close H1-H4 with targeted regression tests and a real isolated-database concurrency test.</w:t>
      </w:r>
    </w:p>
    <w:p>
      <w:pPr>
        <w:pStyle w:val="ListNumber"/>
      </w:pPr>
      <w:r>
        <w:t>Close M1-M4: optional-field handling, chronological validation, role-correct actions and accessible fields/dialogs.</w:t>
      </w:r>
    </w:p>
    <w:p>
      <w:pPr>
        <w:pStyle w:val="ListNumber"/>
      </w:pPr>
      <w:r>
        <w:t>Run a fresh-organisation lifecycle through scope, duties, risk ownership/treatment, applicability, approved policies/readership, uploads and version changes, passing/failing tests, corrective action, audit report review/completion, training enrolment and management reporting.</w:t>
      </w:r>
    </w:p>
    <w:p>
      <w:pPr>
        <w:pStyle w:val="ListNumber"/>
      </w:pPr>
      <w:r>
        <w:t>Test each role with separate real identities, including negative API calls, ownership changes, session revocation, record scope and independent-review restrictions. UI role simulation alone is insufficient.</w:t>
      </w:r>
    </w:p>
    <w:p>
      <w:pPr>
        <w:pStyle w:val="ListNumber"/>
      </w:pPr>
      <w:r>
        <w:t>Validate framework editions and full requirement mapping for the exact scope with a competent compliance lead. Record risk acceptance criteria and authorised risk-owner decisions.</w:t>
      </w:r>
    </w:p>
    <w:p>
      <w:pPr>
        <w:pStyle w:val="ListNumber"/>
      </w:pPr>
      <w:r>
        <w:t>Confirm protected uploads, retention/access configuration, recovery of both database and stored evidence, operational monitoring, provider delivery and the intended business support arrangements.</w:t>
      </w:r>
    </w:p>
    <w:p>
      <w:pPr>
        <w:pStyle w:val="ListNumber"/>
      </w:pPr>
      <w:r>
        <w:t>Retest the canonical online deployment on desktop and phone under stable connectivity, including actual downloads and saved-record lifecycles. Resolve or explain delivery timeouts before customer rollout.</w:t>
      </w:r>
    </w:p>
    <w:p>
      <w:pPr>
        <w:pStyle w:val="Heading1"/>
      </w:pPr>
      <w:r>
        <w:t>Scope, limitations and evidence</w:t>
      </w:r>
    </w:p>
    <w:p>
      <w:pPr>
        <w:pStyle w:val="ListBullet"/>
      </w:pPr>
      <w:r>
        <w:t>This is a product/workflow and engineering readiness review, using publicly available Vanta documentation as a benchmark. It is not an independent certification, legal opinion, penetration test or a claim of Vanta equivalence.</w:t>
      </w:r>
    </w:p>
    <w:p>
      <w:pPr>
        <w:pStyle w:val="ListBullet"/>
      </w:pPr>
      <w:r>
        <w:t>Current-source inspection covered 134 TSX files, including 484 field/label nodes and 90 JSX link nodes. Static enumeration does not validate every dynamic destination or every possible field value.</w:t>
      </w:r>
    </w:p>
    <w:p>
      <w:pPr>
        <w:pStyle w:val="ListBullet"/>
      </w:pPr>
      <w:r>
        <w:t>All 37 principal routes rendered in a local current-source preview against the managed demo API, with writes blocked, plus nine workflow panels. Seven create/upload forms were inspected across that run and the evidence recheck. A selector issue caused the first evidence snapshot to fail; its dedicated recheck rendered successfully.</w:t>
      </w:r>
    </w:p>
    <w:p>
      <w:pPr>
        <w:pStyle w:val="ListBullet"/>
      </w:pPr>
      <w:r>
        <w:t>Fresh browser checks of the canonical online frontend timed out before reaching sign-in fields. The frontend project still pointed to the expected deployment; HTML and the entry script were retrieved, but delivery was intermittently slow. This audit does not attribute those timeouts conclusively to an application defect or declare the live site freshly passed.</w:t>
      </w:r>
    </w:p>
    <w:p>
      <w:pPr>
        <w:pStyle w:val="ListBullet"/>
      </w:pPr>
      <w:r>
        <w:t>The earlier 86 live browser checks, 42 HTTP checks, download checks and reload checks remain historical functional evidence for this source release. They do not prove that a newly created organisation can complete every workflow. Demo records prepared by a seed script can hide UI gaps.</w:t>
      </w:r>
    </w:p>
    <w:p>
      <w:pPr>
        <w:pStyle w:val="ListBullet"/>
      </w:pPr>
      <w:r>
        <w:t>Six isolated probes reproduced current deficiencies: a control-owner N/A change, the missing audit summary field, full-payload completion rejection, reversed audit dates, reversed calendar dates and concurrent co-owner demotion. Passing these probes means the defect was observed; it is not a readiness pass.</w:t>
      </w:r>
    </w:p>
    <w:p>
      <w:pPr>
        <w:pStyle w:val="ListBullet"/>
      </w:pPr>
      <w:r>
        <w:t>The ownership race used controlled repository fixtures, not simultaneous writes to a production database. Date probes checked schemas/services rather than a live insert. The training optional-number issue was reproduced by executing the actual client schema locally.</w:t>
      </w:r>
    </w:p>
    <w:p>
      <w:pPr>
        <w:pStyle w:val="ListBullet"/>
      </w:pPr>
      <w:r>
        <w:t>No application change, deployment, production business-record mutation, external message or real payment was made. Sign-in/sign-out created normal authentication-session activity. New-user onboarding, real payment/email/provider delivery, accessibility with assistive hardware, load/concurrency at scale, and full object-store disaster recovery require separate acceptance evidence.</w:t>
      </w:r>
    </w:p>
    <w:p>
      <w:r>
        <w:t>Evidence directory: C:\Users\user\Desktop\ComplianceCore\Audit_2026-10-26\Independent_Readiness_Audit</w:t>
      </w:r>
    </w:p>
    <w:p>
      <w:r>
        <w:t>Key files: audit-findings.json; source-input-and-link-inventory.json; local-page-and-input-inventory.json; evidence-recheck.json; page-coverage.json; service-probe-results.json; training-input-probe.json. The copied probe file documents deficiencies and should not be treated as an application acceptance suite. It can be temporarily copied into backend/test/unit to rerun in the existing test harness.</w:t>
      </w:r>
    </w:p>
    <w:p>
      <w:pPr>
        <w:pStyle w:val="Heading1"/>
      </w:pPr>
      <w:r>
        <w:t>Public reference sources</w:t>
      </w:r>
    </w:p>
    <w:p>
      <w:r>
        <w:t>Vanta: audit workflows and collaboration</w:t>
        <w:br/>
        <w:t>https://www.vanta.com/products/audit</w:t>
      </w:r>
    </w:p>
    <w:p>
      <w:r>
        <w:t>Vanta: audit evidence states</w:t>
        <w:br/>
        <w:t>https://help.vanta.com/en/articles/11345427-audit-evidence</w:t>
      </w:r>
    </w:p>
    <w:p>
      <w:r>
        <w:t>Vanta: policy lifecycle</w:t>
        <w:br/>
        <w:t>https://help.vanta.com/en/articles/11345363-getting-started-with-policies</w:t>
      </w:r>
    </w:p>
    <w:p>
      <w:r>
        <w:t>Vanta: risk assessments</w:t>
        <w:br/>
        <w:t>https://help.vanta.com/en/articles/15089313-completing-risk-assessments</w:t>
      </w:r>
    </w:p>
    <w:p>
      <w:r>
        <w:t>Vanta: product feature reference</w:t>
        <w:br/>
        <w:t>https://www.vanta.com/features</w:t>
      </w:r>
    </w:p>
    <w:p>
      <w:r>
        <w:t>NIST: conducting risk assessments</w:t>
        <w:br/>
        <w:t>https://csrc.nist.gov/pubs/sp/800/30/r1/final</w:t>
      </w:r>
    </w:p>
    <w:p>
      <w:r>
        <w:t>ISO: ISO/IEC 27001 overview</w:t>
        <w:br/>
        <w:t>https://committee.iso.org/standard/27001</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ComplianceCore | Internal readiness review | 26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869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869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869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