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ormulation-knowledge-base"/>
      <w:r>
        <w:t xml:space="preserve">Formulation Knowledge Base</w:t>
      </w:r>
      <w:bookmarkEnd w:id="20"/>
    </w:p>
    <w:p>
      <w:pPr>
        <w:pStyle w:val="Heading3"/>
      </w:pPr>
      <w:bookmarkStart w:id="21" w:name="Xa9830cab827cafa17b3c3bb05de66f848067818"/>
      <w:r>
        <w:t xml:space="preserve">For building the recipe / formulation generator</w:t>
      </w:r>
      <w:bookmarkEnd w:id="21"/>
    </w:p>
    <w:p>
      <w:pPr>
        <w:pStyle w:val="FirstParagraph"/>
      </w:pPr>
      <w:r>
        <w:t xml:space="preserve">A synthesis of the food-science research and expert conversations, focused on the formulation logic the tool needs to encode. Written for a developer building the generator, so it leans on rules and data, not narrative.</w:t>
      </w:r>
    </w:p>
    <w:p>
      <w:r>
        <w:pict>
          <v:rect style="width:0;height:1.5pt" o:hralign="center" o:hrstd="t" o:hr="t"/>
        </w:pict>
      </w:r>
    </w:p>
    <w:p>
      <w:pPr>
        <w:pStyle w:val="Heading2"/>
      </w:pPr>
      <w:bookmarkStart w:id="22" w:name="what-we-are-building"/>
      <w:r>
        <w:t xml:space="preserve">1. What we are building</w:t>
      </w:r>
      <w:bookmarkEnd w:id="22"/>
    </w:p>
    <w:p>
      <w:pPr>
        <w:pStyle w:val="FirstParagraph"/>
      </w:pPr>
      <w:r>
        <w:rPr>
          <w:b/>
        </w:rPr>
        <w:t xml:space="preserve">The product.</w:t>
      </w:r>
      <w:r>
        <w:t xml:space="preserve"> </w:t>
      </w:r>
      <w:r>
        <w:t xml:space="preserve">A food-based, multi-enzyme blend embedded directly into a condiment (starting with a salad dressing), so people digest trigger foods (dairy, beans, other FODMAP-heavy foods) without a separate pill. Positioned as a natural, food-first alternative to Lactaid, Beano, and FODZYME.</w:t>
      </w:r>
    </w:p>
    <w:p>
      <w:pPr>
        <w:pStyle w:val="BodyText"/>
      </w:pPr>
      <w:r>
        <w:rPr>
          <w:b/>
        </w:rPr>
        <w:t xml:space="preserve">The two-step path.</w:t>
      </w:r>
      <w:r>
        <w:t xml:space="preserve"> </w:t>
      </w:r>
      <w:r>
        <w:t xml:space="preserve">1. First: a FODZYME-like shelf-stable dry enzyme blend that pairs with a sauce.</w:t>
      </w:r>
      <w:r>
        <w:t xml:space="preserve"> </w:t>
      </w:r>
      <w:r>
        <w:t xml:space="preserve">2. Then: a ready-to-eat format, most likely a dual-chamber bottle (wet dressing in one chamber, dry enzyme powder in the other, combined at squeeze).</w:t>
      </w:r>
    </w:p>
    <w:p>
      <w:pPr>
        <w:pStyle w:val="BodyText"/>
      </w:pPr>
      <w:r>
        <w:rPr>
          <w:b/>
        </w:rPr>
        <w:t xml:space="preserve">What the tool does.</w:t>
      </w:r>
      <w:r>
        <w:t xml:space="preserve"> </w:t>
      </w:r>
      <w:r>
        <w:t xml:space="preserve">Given a recipe (ingredients) and the target trigger foods, the generator should output: which enzymes to use, at what dose, and a set of pH, temperature, stability, denaturation, and taste flags, plus a format and packaging recommendation. It is a rules engine over an enzyme database and an ingredient database.</w:t>
      </w:r>
    </w:p>
    <w:p>
      <w:pPr>
        <w:pStyle w:val="BodyText"/>
      </w:pPr>
      <w:r>
        <w:rPr>
          <w:b/>
        </w:rPr>
        <w:t xml:space="preserve">What a good formulation must achieve (the tool’s success criteria).</w:t>
      </w:r>
      <w:r>
        <w:t xml:space="preserve"> </w:t>
      </w:r>
      <w:r>
        <w:t xml:space="preserve">A successful functional dressing has to hit all of these at once, so the generator should treat them as the objectives it checks each recipe against:</w:t>
      </w:r>
    </w:p>
    <w:p>
      <w:pPr>
        <w:numPr>
          <w:ilvl w:val="0"/>
          <w:numId w:val="1001"/>
        </w:numPr>
        <w:pStyle w:val="Compact"/>
      </w:pPr>
      <w:r>
        <w:rPr>
          <w:b/>
        </w:rPr>
        <w:t xml:space="preserve">Shelf stable</w:t>
      </w:r>
      <w:r>
        <w:t xml:space="preserve"> </w:t>
      </w:r>
      <w:r>
        <w:t xml:space="preserve">— the enzyme stays inert and intact in the product, then active in the body (see rules 4c, 4a).</w:t>
      </w:r>
    </w:p>
    <w:p>
      <w:pPr>
        <w:numPr>
          <w:ilvl w:val="0"/>
          <w:numId w:val="1001"/>
        </w:numPr>
        <w:pStyle w:val="Compact"/>
      </w:pPr>
      <w:r>
        <w:rPr>
          <w:b/>
        </w:rPr>
        <w:t xml:space="preserve">No cold chain</w:t>
      </w:r>
      <w:r>
        <w:t xml:space="preserve"> </w:t>
      </w:r>
      <w:r>
        <w:t xml:space="preserve">— ambient-stable, no refrigeration needed (rule 4c).</w:t>
      </w:r>
    </w:p>
    <w:p>
      <w:pPr>
        <w:numPr>
          <w:ilvl w:val="0"/>
          <w:numId w:val="1001"/>
        </w:numPr>
        <w:pStyle w:val="Compact"/>
      </w:pPr>
      <w:r>
        <w:rPr>
          <w:b/>
        </w:rPr>
        <w:t xml:space="preserve">Active at an effective dose</w:t>
      </w:r>
      <w:r>
        <w:t xml:space="preserve"> </w:t>
      </w:r>
      <w:r>
        <w:t xml:space="preserve">— enough enzyme to clear the meal’s substrate load (rule 4g).</w:t>
      </w:r>
    </w:p>
    <w:p>
      <w:pPr>
        <w:numPr>
          <w:ilvl w:val="0"/>
          <w:numId w:val="1001"/>
        </w:numPr>
        <w:pStyle w:val="Compact"/>
      </w:pPr>
      <w:r>
        <w:rPr>
          <w:b/>
        </w:rPr>
        <w:t xml:space="preserve">Tastes great, no change to the food</w:t>
      </w:r>
      <w:r>
        <w:t xml:space="preserve"> </w:t>
      </w:r>
      <w:r>
        <w:t xml:space="preserve">— the enzyme does not alter flavor, texture, smell, or appearance over time (rule 4e).</w:t>
      </w:r>
    </w:p>
    <w:p>
      <w:pPr>
        <w:numPr>
          <w:ilvl w:val="0"/>
          <w:numId w:val="1001"/>
        </w:numPr>
        <w:pStyle w:val="Compact"/>
      </w:pPr>
      <w:r>
        <w:rPr>
          <w:b/>
        </w:rPr>
        <w:t xml:space="preserve">Clean and natural</w:t>
      </w:r>
      <w:r>
        <w:t xml:space="preserve"> </w:t>
      </w:r>
      <w:r>
        <w:t xml:space="preserve">— clean label, no gut-trigger additives, natural sources where possible (rules 4j, 4l).</w:t>
      </w:r>
    </w:p>
    <w:p>
      <w:pPr>
        <w:numPr>
          <w:ilvl w:val="0"/>
          <w:numId w:val="1001"/>
        </w:numPr>
        <w:pStyle w:val="Compact"/>
      </w:pPr>
      <w:r>
        <w:rPr>
          <w:b/>
        </w:rPr>
        <w:t xml:space="preserve">GRAS and food-safe</w:t>
      </w:r>
      <w:r>
        <w:t xml:space="preserve"> </w:t>
      </w:r>
      <w:r>
        <w:t xml:space="preserve">— food-grade enzymes, safe finished product (rule 4l).</w:t>
      </w:r>
    </w:p>
    <w:p>
      <w:pPr>
        <w:numPr>
          <w:ilvl w:val="0"/>
          <w:numId w:val="1001"/>
        </w:numPr>
        <w:pStyle w:val="Compact"/>
      </w:pPr>
      <w:r>
        <w:rPr>
          <w:b/>
        </w:rPr>
        <w:t xml:space="preserve">Manufacturable at scale</w:t>
      </w:r>
      <w:r>
        <w:t xml:space="preserve"> </w:t>
      </w:r>
      <w:r>
        <w:t xml:space="preserve">— producible with real processing, especially the no-heat constraint (rule 4b).</w:t>
      </w:r>
    </w:p>
    <w:p>
      <w:r>
        <w:pict>
          <v:rect style="width:0;height:1.5pt" o:hralign="center" o:hrstd="t" o:hr="t"/>
        </w:pict>
      </w:r>
    </w:p>
    <w:p>
      <w:pPr>
        <w:pStyle w:val="Heading2"/>
      </w:pPr>
      <w:bookmarkStart w:id="23" w:name="the-enzyme-database-core-reference"/>
      <w:r>
        <w:t xml:space="preserve">2. The enzyme database (core reference)</w:t>
      </w:r>
      <w:bookmarkEnd w:id="23"/>
    </w:p>
    <w:p>
      <w:pPr>
        <w:pStyle w:val="FirstParagraph"/>
      </w:pPr>
      <w:r>
        <w:t xml:space="preserve">pH ranges and sites of action are from project research (Cleveland Clinic, FructoHelp, supplier specs). Doses are market benchmarks.</w:t>
      </w:r>
    </w:p>
    <w:p>
      <w:pPr>
        <w:pStyle w:val="BodyText"/>
      </w:pPr>
      <w:r>
        <w:rPr>
          <w:b/>
        </w:rPr>
        <w:t xml:space="preserve">Table A — what each enzyme targets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Enzyme</w:t>
            </w:r>
          </w:p>
        </w:tc>
        <w:tc>
          <w:tcPr>
            <w:tcBorders>
              <w:bottom w:val="single"/>
            </w:tcBorders>
            <w:vAlign w:val="bottom"/>
          </w:tcPr>
          <w:p>
            <w:pPr>
              <w:pStyle w:val="Compact"/>
              <w:jc w:val="left"/>
            </w:pPr>
            <w:r>
              <w:t xml:space="preserve">Breaks down</w:t>
            </w:r>
          </w:p>
        </w:tc>
        <w:tc>
          <w:tcPr>
            <w:tcBorders>
              <w:bottom w:val="single"/>
            </w:tcBorders>
            <w:vAlign w:val="bottom"/>
          </w:tcPr>
          <w:p>
            <w:pPr>
              <w:pStyle w:val="Compact"/>
              <w:jc w:val="left"/>
            </w:pPr>
            <w:r>
              <w:t xml:space="preserve">Trigger foods</w:t>
            </w:r>
          </w:p>
        </w:tc>
        <w:tc>
          <w:tcPr>
            <w:tcBorders>
              <w:bottom w:val="single"/>
            </w:tcBorders>
            <w:vAlign w:val="bottom"/>
          </w:tcPr>
          <w:p>
            <w:pPr>
              <w:pStyle w:val="Compact"/>
              <w:jc w:val="left"/>
            </w:pPr>
            <w:r>
              <w:t xml:space="preserve">Priority</w:t>
            </w:r>
          </w:p>
        </w:tc>
      </w:tr>
      <w:tr>
        <w:tc>
          <w:p>
            <w:pPr>
              <w:pStyle w:val="Compact"/>
              <w:jc w:val="left"/>
            </w:pPr>
            <w:r>
              <w:rPr>
                <w:b/>
              </w:rPr>
              <w:t xml:space="preserve">Lactase</w:t>
            </w:r>
            <w:r>
              <w:t xml:space="preserve"> </w:t>
            </w:r>
            <w:r>
              <w:t xml:space="preserve">(β-galactosidase)</w:t>
            </w:r>
          </w:p>
        </w:tc>
        <w:tc>
          <w:p>
            <w:pPr>
              <w:pStyle w:val="Compact"/>
              <w:jc w:val="left"/>
            </w:pPr>
            <w:r>
              <w:t xml:space="preserve">Lactose</w:t>
            </w:r>
          </w:p>
        </w:tc>
        <w:tc>
          <w:p>
            <w:pPr>
              <w:pStyle w:val="Compact"/>
              <w:jc w:val="left"/>
            </w:pPr>
            <w:r>
              <w:t xml:space="preserve">Milk, yogurt, ice cream</w:t>
            </w:r>
          </w:p>
        </w:tc>
        <w:tc>
          <w:p>
            <w:pPr>
              <w:pStyle w:val="Compact"/>
              <w:jc w:val="left"/>
            </w:pPr>
            <w:r>
              <w:t xml:space="preserve">High</w:t>
            </w:r>
          </w:p>
        </w:tc>
      </w:tr>
      <w:tr>
        <w:tc>
          <w:p>
            <w:pPr>
              <w:pStyle w:val="Compact"/>
              <w:jc w:val="left"/>
            </w:pPr>
            <w:r>
              <w:rPr>
                <w:b/>
              </w:rPr>
              <w:t xml:space="preserve">Alpha-galactosidase</w:t>
            </w:r>
          </w:p>
        </w:tc>
        <w:tc>
          <w:p>
            <w:pPr>
              <w:pStyle w:val="Compact"/>
              <w:jc w:val="left"/>
            </w:pPr>
            <w:r>
              <w:t xml:space="preserve">GOS (raffinose, stachyose)</w:t>
            </w:r>
          </w:p>
        </w:tc>
        <w:tc>
          <w:p>
            <w:pPr>
              <w:pStyle w:val="Compact"/>
              <w:jc w:val="left"/>
            </w:pPr>
            <w:r>
              <w:t xml:space="preserve">Beans, lentils, chickpeas, cruciferous</w:t>
            </w:r>
          </w:p>
        </w:tc>
        <w:tc>
          <w:p>
            <w:pPr>
              <w:pStyle w:val="Compact"/>
              <w:jc w:val="left"/>
            </w:pPr>
            <w:r>
              <w:t xml:space="preserve">High</w:t>
            </w:r>
          </w:p>
        </w:tc>
      </w:tr>
      <w:tr>
        <w:tc>
          <w:p>
            <w:pPr>
              <w:pStyle w:val="Compact"/>
              <w:jc w:val="left"/>
            </w:pPr>
            <w:r>
              <w:rPr>
                <w:b/>
              </w:rPr>
              <w:t xml:space="preserve">Inulinase</w:t>
            </w:r>
          </w:p>
        </w:tc>
        <w:tc>
          <w:p>
            <w:pPr>
              <w:pStyle w:val="Compact"/>
              <w:jc w:val="left"/>
            </w:pPr>
            <w:r>
              <w:t xml:space="preserve">Inulin-type fructans</w:t>
            </w:r>
          </w:p>
        </w:tc>
        <w:tc>
          <w:p>
            <w:pPr>
              <w:pStyle w:val="Compact"/>
              <w:jc w:val="left"/>
            </w:pPr>
            <w:r>
              <w:t xml:space="preserve">Garlic, onion, chicory, artichoke</w:t>
            </w:r>
          </w:p>
        </w:tc>
        <w:tc>
          <w:p>
            <w:pPr>
              <w:pStyle w:val="Compact"/>
              <w:jc w:val="left"/>
            </w:pPr>
            <w:r>
              <w:t xml:space="preserve">Medium (prebiotic tension)</w:t>
            </w:r>
          </w:p>
        </w:tc>
      </w:tr>
      <w:tr>
        <w:tc>
          <w:p>
            <w:pPr>
              <w:pStyle w:val="Compact"/>
              <w:jc w:val="left"/>
            </w:pPr>
            <w:r>
              <w:rPr>
                <w:b/>
              </w:rPr>
              <w:t xml:space="preserve">Fructan hydrolase</w:t>
            </w:r>
          </w:p>
        </w:tc>
        <w:tc>
          <w:p>
            <w:pPr>
              <w:pStyle w:val="Compact"/>
              <w:jc w:val="left"/>
            </w:pPr>
            <w:r>
              <w:t xml:space="preserve">Graminan-type fructans</w:t>
            </w:r>
          </w:p>
        </w:tc>
        <w:tc>
          <w:p>
            <w:pPr>
              <w:pStyle w:val="Compact"/>
              <w:jc w:val="left"/>
            </w:pPr>
            <w:r>
              <w:t xml:space="preserve">Wheat, barley, rye</w:t>
            </w:r>
          </w:p>
        </w:tc>
        <w:tc>
          <w:p>
            <w:pPr>
              <w:pStyle w:val="Compact"/>
              <w:jc w:val="left"/>
            </w:pPr>
            <w:r>
              <w:t xml:space="preserve">Medium</w:t>
            </w:r>
          </w:p>
        </w:tc>
      </w:tr>
      <w:tr>
        <w:tc>
          <w:p>
            <w:pPr>
              <w:pStyle w:val="Compact"/>
              <w:jc w:val="left"/>
            </w:pPr>
            <w:r>
              <w:rPr>
                <w:b/>
              </w:rPr>
              <w:t xml:space="preserve">Protease</w:t>
            </w:r>
            <w:r>
              <w:t xml:space="preserve"> </w:t>
            </w:r>
            <w:r>
              <w:t xml:space="preserve">(bromelain, papain)</w:t>
            </w:r>
          </w:p>
        </w:tc>
        <w:tc>
          <w:p>
            <w:pPr>
              <w:pStyle w:val="Compact"/>
              <w:jc w:val="left"/>
            </w:pPr>
            <w:r>
              <w:t xml:space="preserve">Dietary protein</w:t>
            </w:r>
          </w:p>
        </w:tc>
        <w:tc>
          <w:p>
            <w:pPr>
              <w:pStyle w:val="Compact"/>
              <w:jc w:val="left"/>
            </w:pPr>
            <w:r>
              <w:t xml:space="preserve">Eggs, meat, dairy, legumes</w:t>
            </w:r>
          </w:p>
        </w:tc>
        <w:tc>
          <w:p>
            <w:pPr>
              <w:pStyle w:val="Compact"/>
              <w:jc w:val="left"/>
            </w:pPr>
            <w:r>
              <w:t xml:space="preserve">Additive</w:t>
            </w:r>
          </w:p>
        </w:tc>
      </w:tr>
      <w:tr>
        <w:tc>
          <w:p>
            <w:pPr>
              <w:pStyle w:val="Compact"/>
              <w:jc w:val="left"/>
            </w:pPr>
            <w:r>
              <w:rPr>
                <w:b/>
              </w:rPr>
              <w:t xml:space="preserve">Lipase</w:t>
            </w:r>
          </w:p>
        </w:tc>
        <w:tc>
          <w:p>
            <w:pPr>
              <w:pStyle w:val="Compact"/>
              <w:jc w:val="left"/>
            </w:pPr>
            <w:r>
              <w:t xml:space="preserve">Dietary fat</w:t>
            </w:r>
          </w:p>
        </w:tc>
        <w:tc>
          <w:p>
            <w:pPr>
              <w:pStyle w:val="Compact"/>
              <w:jc w:val="left"/>
            </w:pPr>
            <w:r>
              <w:t xml:space="preserve">Oils, butter, fatty meats</w:t>
            </w:r>
          </w:p>
        </w:tc>
        <w:tc>
          <w:p>
            <w:pPr>
              <w:pStyle w:val="Compact"/>
              <w:jc w:val="left"/>
            </w:pPr>
            <w:r>
              <w:t xml:space="preserve">Additive</w:t>
            </w:r>
          </w:p>
        </w:tc>
      </w:tr>
      <w:tr>
        <w:tc>
          <w:p>
            <w:pPr>
              <w:pStyle w:val="Compact"/>
              <w:jc w:val="left"/>
            </w:pPr>
            <w:r>
              <w:rPr>
                <w:b/>
              </w:rPr>
              <w:t xml:space="preserve">Xylose / glucose isomerase</w:t>
            </w:r>
          </w:p>
        </w:tc>
        <w:tc>
          <w:p>
            <w:pPr>
              <w:pStyle w:val="Compact"/>
              <w:jc w:val="left"/>
            </w:pPr>
            <w:r>
              <w:t xml:space="preserve">Excess fructose</w:t>
            </w:r>
          </w:p>
        </w:tc>
        <w:tc>
          <w:p>
            <w:pPr>
              <w:pStyle w:val="Compact"/>
              <w:jc w:val="left"/>
            </w:pPr>
            <w:r>
              <w:t xml:space="preserve">Apples, mango, honey</w:t>
            </w:r>
          </w:p>
        </w:tc>
        <w:tc>
          <w:p>
            <w:pPr>
              <w:pStyle w:val="Compact"/>
              <w:jc w:val="left"/>
            </w:pPr>
            <w:r>
              <w:t xml:space="preserve">Lower</w:t>
            </w:r>
          </w:p>
        </w:tc>
      </w:tr>
      <w:tr>
        <w:tc>
          <w:p>
            <w:pPr>
              <w:pStyle w:val="Compact"/>
              <w:jc w:val="left"/>
            </w:pPr>
            <w:r>
              <w:t xml:space="preserve">Invertase, amylase, cellulase, pectinase</w:t>
            </w:r>
          </w:p>
        </w:tc>
        <w:tc>
          <w:p>
            <w:pPr>
              <w:pStyle w:val="Compact"/>
              <w:jc w:val="left"/>
            </w:pPr>
            <w:r>
              <w:t xml:space="preserve">Sucrose, starch, fiber, pectin</w:t>
            </w:r>
          </w:p>
        </w:tc>
        <w:tc>
          <w:p>
            <w:pPr>
              <w:pStyle w:val="Compact"/>
              <w:jc w:val="left"/>
            </w:pPr>
            <w:r>
              <w:t xml:space="preserve">Sugar, bread, pasta, grains</w:t>
            </w:r>
          </w:p>
        </w:tc>
        <w:tc>
          <w:p>
            <w:pPr>
              <w:pStyle w:val="Compact"/>
              <w:jc w:val="left"/>
            </w:pPr>
            <w:r>
              <w:t xml:space="preserve">Lower</w:t>
            </w:r>
          </w:p>
        </w:tc>
      </w:tr>
    </w:tbl>
    <w:p>
      <w:pPr>
        <w:pStyle w:val="BodyText"/>
      </w:pPr>
      <w:r>
        <w:rPr>
          <w:b/>
        </w:rPr>
        <w:t xml:space="preserve">Table B — formulation properties (of the enzymes we care about)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Enzyme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pH min–max (optimal)</w:t>
            </w:r>
          </w:p>
        </w:tc>
        <w:tc>
          <w:tcPr>
            <w:tcBorders>
              <w:bottom w:val="single"/>
            </w:tcBorders>
            <w:vAlign w:val="bottom"/>
          </w:tcPr>
          <w:p>
            <w:pPr>
              <w:pStyle w:val="Compact"/>
              <w:jc w:val="left"/>
            </w:pPr>
            <w:r>
              <w:t xml:space="preserve">Where it must act</w:t>
            </w:r>
          </w:p>
        </w:tc>
        <w:tc>
          <w:tcPr>
            <w:tcBorders>
              <w:bottom w:val="single"/>
            </w:tcBorders>
            <w:vAlign w:val="bottom"/>
          </w:tcPr>
          <w:p>
            <w:pPr>
              <w:pStyle w:val="Compact"/>
              <w:jc w:val="left"/>
            </w:pPr>
            <w:r>
              <w:t xml:space="preserve">Dose benchmark</w:t>
            </w:r>
          </w:p>
        </w:tc>
      </w:tr>
      <w:tr>
        <w:tc>
          <w:p>
            <w:pPr>
              <w:pStyle w:val="Compact"/>
              <w:jc w:val="left"/>
            </w:pPr>
            <w:r>
              <w:rPr>
                <w:b/>
              </w:rPr>
              <w:t xml:space="preserve">Lactase</w:t>
            </w:r>
          </w:p>
        </w:tc>
        <w:tc>
          <w:p>
            <w:pPr>
              <w:pStyle w:val="Compact"/>
              <w:jc w:val="left"/>
            </w:pPr>
            <w:r>
              <w:t xml:space="preserve">Fungal (acid) or yeast (neutral)</w:t>
            </w:r>
          </w:p>
        </w:tc>
        <w:tc>
          <w:p>
            <w:pPr>
              <w:pStyle w:val="Compact"/>
              <w:jc w:val="left"/>
            </w:pPr>
            <w:r>
              <w:t xml:space="preserve">2.5–5.4 (~5.0, fungal)</w:t>
            </w:r>
          </w:p>
        </w:tc>
        <w:tc>
          <w:p>
            <w:pPr>
              <w:pStyle w:val="Compact"/>
              <w:jc w:val="left"/>
            </w:pPr>
            <w:r>
              <w:t xml:space="preserve">Mouth → stomach, before small intestine</w:t>
            </w:r>
          </w:p>
        </w:tc>
        <w:tc>
          <w:p>
            <w:pPr>
              <w:pStyle w:val="Compact"/>
              <w:jc w:val="left"/>
            </w:pPr>
            <w:r>
              <w:t xml:space="preserve">900–18,000 FCC (Lactaid 9,000)</w:t>
            </w:r>
          </w:p>
        </w:tc>
      </w:tr>
      <w:tr>
        <w:tc>
          <w:p>
            <w:pPr>
              <w:pStyle w:val="Compact"/>
              <w:jc w:val="left"/>
            </w:pPr>
            <w:r>
              <w:rPr>
                <w:b/>
              </w:rPr>
              <w:t xml:space="preserve">Alpha-galactosidase</w:t>
            </w:r>
          </w:p>
        </w:tc>
        <w:tc>
          <w:p>
            <w:pPr>
              <w:pStyle w:val="Compact"/>
              <w:jc w:val="left"/>
            </w:pPr>
            <w:r>
              <w:t xml:space="preserve">Fungal (A. niger)</w:t>
            </w:r>
          </w:p>
        </w:tc>
        <w:tc>
          <w:p>
            <w:pPr>
              <w:pStyle w:val="Compact"/>
              <w:jc w:val="left"/>
            </w:pPr>
            <w:r>
              <w:t xml:space="preserve">3.0–8.0 (~5.0)</w:t>
            </w:r>
          </w:p>
        </w:tc>
        <w:tc>
          <w:p>
            <w:pPr>
              <w:pStyle w:val="Compact"/>
              <w:jc w:val="left"/>
            </w:pPr>
            <w:r>
              <w:t xml:space="preserve">Stomach → small intestine, before the colon</w:t>
            </w:r>
          </w:p>
        </w:tc>
        <w:tc>
          <w:p>
            <w:pPr>
              <w:pStyle w:val="Compact"/>
              <w:jc w:val="left"/>
            </w:pPr>
            <w:r>
              <w:t xml:space="preserve">450–800 GalU (Beano 800)</w:t>
            </w:r>
          </w:p>
        </w:tc>
      </w:tr>
      <w:tr>
        <w:tc>
          <w:p>
            <w:pPr>
              <w:pStyle w:val="Compact"/>
              <w:jc w:val="left"/>
            </w:pPr>
            <w:r>
              <w:rPr>
                <w:b/>
              </w:rPr>
              <w:t xml:space="preserve">Inulinase</w:t>
            </w:r>
          </w:p>
        </w:tc>
        <w:tc>
          <w:p>
            <w:pPr>
              <w:pStyle w:val="Compact"/>
              <w:jc w:val="left"/>
            </w:pPr>
            <w:r>
              <w:t xml:space="preserve">Fungal</w:t>
            </w:r>
          </w:p>
        </w:tc>
        <w:tc>
          <w:p>
            <w:pPr>
              <w:pStyle w:val="Compact"/>
              <w:jc w:val="left"/>
            </w:pPr>
            <w:r>
              <w:t xml:space="preserve">2.0–7.0 (~3.0–5.0)</w:t>
            </w:r>
          </w:p>
        </w:tc>
        <w:tc>
          <w:p>
            <w:pPr>
              <w:pStyle w:val="Compact"/>
              <w:jc w:val="left"/>
            </w:pPr>
            <w:r>
              <w:t xml:space="preserve">Stomach → upper small intestine</w:t>
            </w:r>
          </w:p>
        </w:tc>
        <w:tc>
          <w:p>
            <w:pPr>
              <w:pStyle w:val="Compact"/>
              <w:jc w:val="left"/>
            </w:pPr>
            <w:r>
              <w:t xml:space="preserve">confirm</w:t>
            </w:r>
          </w:p>
        </w:tc>
      </w:tr>
      <w:tr>
        <w:tc>
          <w:p>
            <w:pPr>
              <w:pStyle w:val="Compact"/>
              <w:jc w:val="left"/>
            </w:pPr>
            <w:r>
              <w:rPr>
                <w:b/>
              </w:rPr>
              <w:t xml:space="preserve">Fructan hydrolase</w:t>
            </w:r>
          </w:p>
        </w:tc>
        <w:tc>
          <w:p>
            <w:pPr>
              <w:pStyle w:val="Compact"/>
              <w:jc w:val="left"/>
            </w:pPr>
            <w:r>
              <w:t xml:space="preserve">FODZYME blend</w:t>
            </w:r>
          </w:p>
        </w:tc>
        <w:tc>
          <w:p>
            <w:pPr>
              <w:pStyle w:val="Compact"/>
              <w:jc w:val="left"/>
            </w:pPr>
            <w:r>
              <w:t xml:space="preserve">confirm</w:t>
            </w:r>
          </w:p>
        </w:tc>
        <w:tc>
          <w:p>
            <w:pPr>
              <w:pStyle w:val="Compact"/>
              <w:jc w:val="left"/>
            </w:pPr>
            <w:r>
              <w:t xml:space="preserve">Upper GI, before the colon</w:t>
            </w:r>
          </w:p>
        </w:tc>
        <w:tc>
          <w:p>
            <w:pPr>
              <w:pStyle w:val="Compact"/>
              <w:jc w:val="left"/>
            </w:pPr>
            <w:r>
              <w:t xml:space="preserve">confirm</w:t>
            </w:r>
          </w:p>
        </w:tc>
      </w:tr>
      <w:tr>
        <w:tc>
          <w:p>
            <w:pPr>
              <w:pStyle w:val="Compact"/>
              <w:jc w:val="left"/>
            </w:pPr>
            <w:r>
              <w:rPr>
                <w:b/>
              </w:rPr>
              <w:t xml:space="preserve">Protease / bromelain</w:t>
            </w:r>
          </w:p>
        </w:tc>
        <w:tc>
          <w:p>
            <w:pPr>
              <w:pStyle w:val="Compact"/>
              <w:jc w:val="left"/>
            </w:pPr>
            <w:r>
              <w:t xml:space="preserve">Microbial, or pineapple / papaya</w:t>
            </w:r>
          </w:p>
        </w:tc>
        <w:tc>
          <w:p>
            <w:pPr>
              <w:pStyle w:val="Compact"/>
              <w:jc w:val="left"/>
            </w:pPr>
            <w:r>
              <w:t xml:space="preserve">4.0–8.0 (~7.0); bromelain ~4.5–7</w:t>
            </w:r>
          </w:p>
        </w:tc>
        <w:tc>
          <w:p>
            <w:pPr>
              <w:pStyle w:val="Compact"/>
              <w:jc w:val="left"/>
            </w:pPr>
            <w:r>
              <w:t xml:space="preserve">Stomach + small intestine</w:t>
            </w:r>
          </w:p>
        </w:tc>
        <w:tc>
          <w:p>
            <w:pPr>
              <w:pStyle w:val="Compact"/>
              <w:jc w:val="left"/>
            </w:pPr>
            <w:r>
              <w:t xml:space="preserve">varies (GDU)</w:t>
            </w:r>
          </w:p>
        </w:tc>
      </w:tr>
      <w:tr>
        <w:tc>
          <w:p>
            <w:pPr>
              <w:pStyle w:val="Compact"/>
              <w:jc w:val="left"/>
            </w:pPr>
            <w:r>
              <w:rPr>
                <w:b/>
              </w:rPr>
              <w:t xml:space="preserve">Lipase</w:t>
            </w:r>
          </w:p>
        </w:tc>
        <w:tc>
          <w:p>
            <w:pPr>
              <w:pStyle w:val="Compact"/>
              <w:jc w:val="left"/>
            </w:pPr>
            <w:r>
              <w:t xml:space="preserve">Fungal, some plants</w:t>
            </w:r>
          </w:p>
        </w:tc>
        <w:tc>
          <w:p>
            <w:pPr>
              <w:pStyle w:val="Compact"/>
              <w:jc w:val="left"/>
            </w:pPr>
            <w:r>
              <w:t xml:space="preserve">2.0–9.0 (~7.0)</w:t>
            </w:r>
          </w:p>
        </w:tc>
        <w:tc>
          <w:p>
            <w:pPr>
              <w:pStyle w:val="Compact"/>
              <w:jc w:val="left"/>
            </w:pPr>
            <w:r>
              <w:t xml:space="preserve">Mostly small intestine</w:t>
            </w:r>
          </w:p>
        </w:tc>
        <w:tc>
          <w:p>
            <w:pPr>
              <w:pStyle w:val="Compact"/>
              <w:jc w:val="left"/>
            </w:pPr>
            <w:r>
              <w:t xml:space="preserve">confirm</w:t>
            </w:r>
          </w:p>
        </w:tc>
      </w:tr>
      <w:tr>
        <w:tc>
          <w:p>
            <w:pPr>
              <w:pStyle w:val="Compact"/>
              <w:jc w:val="left"/>
            </w:pPr>
            <w:r>
              <w:rPr>
                <w:b/>
              </w:rPr>
              <w:t xml:space="preserve">Xylose isomerase</w:t>
            </w:r>
          </w:p>
        </w:tc>
        <w:tc>
          <w:p>
            <w:pPr>
              <w:pStyle w:val="Compact"/>
              <w:jc w:val="left"/>
            </w:pPr>
            <w:r>
              <w:t xml:space="preserve">Microbial</w:t>
            </w:r>
          </w:p>
        </w:tc>
        <w:tc>
          <w:p>
            <w:pPr>
              <w:pStyle w:val="Compact"/>
              <w:jc w:val="left"/>
            </w:pPr>
            <w:r>
              <w:t xml:space="preserve">7.0–9.0</w:t>
            </w:r>
          </w:p>
        </w:tc>
        <w:tc>
          <w:p>
            <w:pPr>
              <w:pStyle w:val="Compact"/>
              <w:jc w:val="left"/>
            </w:pPr>
            <w:r>
              <w:t xml:space="preserve">Small intestine, near absorption</w:t>
            </w:r>
          </w:p>
        </w:tc>
        <w:tc>
          <w:p>
            <w:pPr>
              <w:pStyle w:val="Compact"/>
              <w:jc w:val="left"/>
            </w:pPr>
            <w:r>
              <w:t xml:space="preserve">confirm</w:t>
            </w:r>
          </w:p>
        </w:tc>
      </w:tr>
    </w:tbl>
    <w:p>
      <w:pPr>
        <w:pStyle w:val="BodyText"/>
      </w:pPr>
      <w:r>
        <w:rPr>
          <w:b/>
        </w:rPr>
        <w:t xml:space="preserve">Two critical points from the site-of-action work:</w:t>
      </w:r>
      <w:r>
        <w:t xml:space="preserve"> </w:t>
      </w:r>
      <w:r>
        <w:t xml:space="preserve">-</w:t>
      </w:r>
      <w:r>
        <w:t xml:space="preserve"> </w:t>
      </w:r>
      <w:r>
        <w:rPr>
          <w:b/>
        </w:rPr>
        <w:t xml:space="preserve">Alpha-galactosidase, inulinase, and xylose isomerase target substrates the human body has NO native enzyme for.</w:t>
      </w:r>
      <w:r>
        <w:t xml:space="preserve"> </w:t>
      </w:r>
      <w:r>
        <w:t xml:space="preserve">Whatever reaches the colon undigested gets fermented into gas. There is no catching up. These are hard deadlines.</w:t>
      </w:r>
      <w:r>
        <w:t xml:space="preserve"> </w:t>
      </w:r>
      <w:r>
        <w:t xml:space="preserve">-</w:t>
      </w:r>
      <w:r>
        <w:t xml:space="preserve"> </w:t>
      </w:r>
      <w:r>
        <w:rPr>
          <w:b/>
        </w:rPr>
        <w:t xml:space="preserve">Protease and lipase are already well covered</w:t>
      </w:r>
      <w:r>
        <w:t xml:space="preserve"> </w:t>
      </w:r>
      <w:r>
        <w:t xml:space="preserve">by the body’s own enzymes, so adding them is additive, not gap-filling. (Bromelain is still useful as a natural, clean-label protein-digestion and marketing ingredient.)</w:t>
      </w:r>
    </w:p>
    <w:p>
      <w:r>
        <w:pict>
          <v:rect style="width:0;height:1.5pt" o:hralign="center" o:hrstd="t" o:hr="t"/>
        </w:pict>
      </w:r>
    </w:p>
    <w:p>
      <w:pPr>
        <w:pStyle w:val="Heading2"/>
      </w:pPr>
      <w:bookmarkStart w:id="24" w:name="X2912c6de58a564e4440e9501b80ac27629e85de"/>
      <w:r>
        <w:t xml:space="preserve">3. Substrate to food map (for the ingredient database)</w:t>
      </w:r>
      <w:bookmarkEnd w:id="24"/>
    </w:p>
    <w:p>
      <w:pPr>
        <w:numPr>
          <w:ilvl w:val="0"/>
          <w:numId w:val="1002"/>
        </w:numPr>
        <w:pStyle w:val="Compact"/>
      </w:pPr>
      <w:r>
        <w:t xml:space="preserve">Lactose → dairy (milk, yogurt, ice cream; hard aged cheeses are low-lactose)</w:t>
      </w:r>
    </w:p>
    <w:p>
      <w:pPr>
        <w:numPr>
          <w:ilvl w:val="0"/>
          <w:numId w:val="1002"/>
        </w:numPr>
        <w:pStyle w:val="Compact"/>
      </w:pPr>
      <w:r>
        <w:t xml:space="preserve">GOS → beans, lentils, chickpeas, cruciferous veg</w:t>
      </w:r>
    </w:p>
    <w:p>
      <w:pPr>
        <w:numPr>
          <w:ilvl w:val="0"/>
          <w:numId w:val="1002"/>
        </w:numPr>
        <w:pStyle w:val="Compact"/>
      </w:pPr>
      <w:r>
        <w:t xml:space="preserve">Inulin-type fructans → onion, garlic, chicory, artichoke</w:t>
      </w:r>
    </w:p>
    <w:p>
      <w:pPr>
        <w:numPr>
          <w:ilvl w:val="0"/>
          <w:numId w:val="1002"/>
        </w:numPr>
        <w:pStyle w:val="Compact"/>
      </w:pPr>
      <w:r>
        <w:t xml:space="preserve">Graminan-type fructans → wheat, barley, rye</w:t>
      </w:r>
    </w:p>
    <w:p>
      <w:pPr>
        <w:numPr>
          <w:ilvl w:val="0"/>
          <w:numId w:val="1002"/>
        </w:numPr>
        <w:pStyle w:val="Compact"/>
      </w:pPr>
      <w:r>
        <w:t xml:space="preserve">Excess fructose → apples, mango, honey</w:t>
      </w:r>
    </w:p>
    <w:p>
      <w:pPr>
        <w:numPr>
          <w:ilvl w:val="0"/>
          <w:numId w:val="1002"/>
        </w:numPr>
        <w:pStyle w:val="Compact"/>
      </w:pPr>
      <w:r>
        <w:t xml:space="preserve">Polyols → mushrooms, stone fruit, sugar-free gum</w:t>
      </w:r>
    </w:p>
    <w:p>
      <w:pPr>
        <w:numPr>
          <w:ilvl w:val="0"/>
          <w:numId w:val="1002"/>
        </w:numPr>
        <w:pStyle w:val="Compact"/>
      </w:pPr>
      <w:r>
        <w:t xml:space="preserve">Protein → meat, eggs, dairy, legumes</w:t>
      </w:r>
    </w:p>
    <w:p>
      <w:pPr>
        <w:numPr>
          <w:ilvl w:val="0"/>
          <w:numId w:val="1002"/>
        </w:numPr>
        <w:pStyle w:val="Compact"/>
      </w:pPr>
      <w:r>
        <w:t xml:space="preserve">Fat → oils, butter, fatty meats</w:t>
      </w:r>
    </w:p>
    <w:p>
      <w:r>
        <w:pict>
          <v:rect style="width:0;height:1.5pt" o:hralign="center" o:hrstd="t" o:hr="t"/>
        </w:pict>
      </w:r>
    </w:p>
    <w:p>
      <w:pPr>
        <w:pStyle w:val="Heading2"/>
      </w:pPr>
      <w:bookmarkStart w:id="25" w:name="X21c12d6bf3f4536f719438ab1771272fe39c3e2"/>
      <w:r>
        <w:t xml:space="preserve">4. The rules engine (the formulation logic to encode)</w:t>
      </w:r>
      <w:bookmarkEnd w:id="25"/>
    </w:p>
    <w:p>
      <w:pPr>
        <w:pStyle w:val="Heading3"/>
      </w:pPr>
      <w:bookmarkStart w:id="26" w:name="a.-ph-rules"/>
      <w:r>
        <w:t xml:space="preserve">a. pH rules</w:t>
      </w:r>
      <w:bookmarkEnd w:id="26"/>
    </w:p>
    <w:p>
      <w:pPr>
        <w:numPr>
          <w:ilvl w:val="0"/>
          <w:numId w:val="1003"/>
        </w:numPr>
        <w:pStyle w:val="Compact"/>
      </w:pPr>
      <w:r>
        <w:t xml:space="preserve">Every enzyme has a min, max, and optimal pH. Within range = active; at optimal = fastest; outside range = sluggish or denatured.</w:t>
      </w:r>
    </w:p>
    <w:p>
      <w:pPr>
        <w:numPr>
          <w:ilvl w:val="0"/>
          <w:numId w:val="1003"/>
        </w:numPr>
        <w:pStyle w:val="Compact"/>
      </w:pPr>
      <w:r>
        <w:rPr>
          <w:b/>
        </w:rPr>
        <w:t xml:space="preserve">Survival is not the same as activity.</w:t>
      </w:r>
      <w:r>
        <w:t xml:space="preserve"> </w:t>
      </w:r>
      <w:r>
        <w:t xml:space="preserve">An enzyme can go sluggish in bad conditions and recover once conditions improve, as long as it has not denatured. Denaturation is permanent.</w:t>
      </w:r>
    </w:p>
    <w:p>
      <w:pPr>
        <w:numPr>
          <w:ilvl w:val="0"/>
          <w:numId w:val="1003"/>
        </w:numPr>
        <w:pStyle w:val="Compact"/>
      </w:pPr>
      <w:r>
        <w:rPr>
          <w:b/>
        </w:rPr>
        <w:t xml:space="preserve">Acidic dressings are the risk.</w:t>
      </w:r>
      <w:r>
        <w:t xml:space="preserve"> </w:t>
      </w:r>
      <w:r>
        <w:t xml:space="preserve">Vinegar puts a dressing around pH 3. Check every enzyme’s minimum; most food-grade lactase and alpha-gal do not survive very low pH for long. This is the single biggest formulation constraint for a vinaigrette.</w:t>
      </w:r>
    </w:p>
    <w:p>
      <w:pPr>
        <w:numPr>
          <w:ilvl w:val="0"/>
          <w:numId w:val="1003"/>
        </w:numPr>
        <w:pStyle w:val="Compact"/>
      </w:pPr>
      <w:r>
        <w:rPr>
          <w:b/>
        </w:rPr>
        <w:t xml:space="preserve">The GI pH gradient the enzyme travels through:</w:t>
      </w:r>
      <w:r>
        <w:t xml:space="preserve"> </w:t>
      </w:r>
      <w:r>
        <w:t xml:space="preserve">mouth 6.2–7.6; stomach fasting 1.5–2.0; stomach after eating 4–6 (food buffers it up, then it drifts back down over ~2 hours); duodenum 6.0–6.5; jejunum/ileum 7.0–7.5; colon 5.5–7.0.</w:t>
      </w:r>
    </w:p>
    <w:p>
      <w:pPr>
        <w:pStyle w:val="Heading3"/>
      </w:pPr>
      <w:bookmarkStart w:id="27" w:name="b.-temperature-and-heat-rules"/>
      <w:r>
        <w:t xml:space="preserve">b. Temperature and heat rules</w:t>
      </w:r>
      <w:bookmarkEnd w:id="27"/>
    </w:p>
    <w:p>
      <w:pPr>
        <w:numPr>
          <w:ilvl w:val="0"/>
          <w:numId w:val="1004"/>
        </w:numPr>
        <w:pStyle w:val="Compact"/>
      </w:pPr>
      <w:r>
        <w:t xml:space="preserve">Body temperature is 37°C; enzymes have temperature ranges too.</w:t>
      </w:r>
    </w:p>
    <w:p>
      <w:pPr>
        <w:numPr>
          <w:ilvl w:val="0"/>
          <w:numId w:val="1004"/>
        </w:numPr>
        <w:pStyle w:val="Compact"/>
      </w:pPr>
      <w:r>
        <w:rPr>
          <w:b/>
        </w:rPr>
        <w:t xml:space="preserve">NO HEAT during processing.</w:t>
      </w:r>
      <w:r>
        <w:t xml:space="preserve"> </w:t>
      </w:r>
      <w:r>
        <w:t xml:space="preserve">Heat denatures enzymes and is flagged as a major issue. If a step involves heat (pasteurization, cooking), the enzyme must be added afterward, at the end.</w:t>
      </w:r>
    </w:p>
    <w:p>
      <w:pPr>
        <w:pStyle w:val="Heading3"/>
      </w:pPr>
      <w:bookmarkStart w:id="28" w:name="c.-water-activation-and-shelf-stability"/>
      <w:r>
        <w:t xml:space="preserve">c. Water activation and shelf stability</w:t>
      </w:r>
      <w:bookmarkEnd w:id="28"/>
    </w:p>
    <w:p>
      <w:pPr>
        <w:numPr>
          <w:ilvl w:val="0"/>
          <w:numId w:val="1005"/>
        </w:numPr>
        <w:pStyle w:val="Compact"/>
      </w:pPr>
      <w:r>
        <w:rPr>
          <w:b/>
        </w:rPr>
        <w:t xml:space="preserve">Dry = inert. Wet = active.</w:t>
      </w:r>
      <w:r>
        <w:t xml:space="preserve"> </w:t>
      </w:r>
      <w:r>
        <w:t xml:space="preserve">Water is the on/off switch. Once the enzyme is wet, it starts reacting and cannot be stopped.</w:t>
      </w:r>
    </w:p>
    <w:p>
      <w:pPr>
        <w:numPr>
          <w:ilvl w:val="0"/>
          <w:numId w:val="1005"/>
        </w:numPr>
        <w:pStyle w:val="Compact"/>
      </w:pPr>
      <w:r>
        <w:rPr>
          <w:b/>
        </w:rPr>
        <w:t xml:space="preserve">Physical separation of the dry enzyme from the liquid is required for shelf life</w:t>
      </w:r>
      <w:r>
        <w:t xml:space="preserve"> </w:t>
      </w:r>
      <w:r>
        <w:t xml:space="preserve">(the dual-chamber approach). Otherwise the enzyme both degrades and starts digesting the food in the jar.</w:t>
      </w:r>
    </w:p>
    <w:p>
      <w:pPr>
        <w:pStyle w:val="Heading3"/>
      </w:pPr>
      <w:bookmarkStart w:id="29" w:name="X3cc367b6ce4eae3f8b930a333a0118cb186802c"/>
      <w:r>
        <w:t xml:space="preserve">d. Enzyme-to-enzyme interactions (co-formulation)</w:t>
      </w:r>
      <w:bookmarkEnd w:id="29"/>
    </w:p>
    <w:p>
      <w:pPr>
        <w:numPr>
          <w:ilvl w:val="0"/>
          <w:numId w:val="1006"/>
        </w:numPr>
        <w:pStyle w:val="Compact"/>
      </w:pPr>
      <w:r>
        <w:rPr>
          <w:b/>
        </w:rPr>
        <w:t xml:space="preserve">Proteases (bromelain, papain) will degrade other enzymes,</w:t>
      </w:r>
      <w:r>
        <w:t xml:space="preserve"> </w:t>
      </w:r>
      <w:r>
        <w:t xml:space="preserve">because enzymes are proteins. Pairing a protease with lactase or alpha-gal in a wet, active state means the protease slowly destroys them. Keep them dry, separated, or individually encapsulated.</w:t>
      </w:r>
    </w:p>
    <w:p>
      <w:pPr>
        <w:pStyle w:val="Heading3"/>
      </w:pPr>
      <w:bookmarkStart w:id="30" w:name="e.-enzyme-to-food-interactions-over-time"/>
      <w:r>
        <w:t xml:space="preserve">e. Enzyme-to-food interactions over time</w:t>
      </w:r>
      <w:bookmarkEnd w:id="30"/>
    </w:p>
    <w:p>
      <w:pPr>
        <w:numPr>
          <w:ilvl w:val="0"/>
          <w:numId w:val="1007"/>
        </w:numPr>
        <w:pStyle w:val="Compact"/>
      </w:pPr>
      <w:r>
        <w:t xml:space="preserve">As enzymes react with food,</w:t>
      </w:r>
      <w:r>
        <w:t xml:space="preserve"> </w:t>
      </w:r>
      <w:r>
        <w:rPr>
          <w:b/>
        </w:rPr>
        <w:t xml:space="preserve">flavor, taste, texture, smell, and appearance can all change over time.</w:t>
      </w:r>
      <w:r>
        <w:t xml:space="preserve"> </w:t>
      </w:r>
      <w:r>
        <w:t xml:space="preserve">Example: lactase makes a product sweeter (lactose hydrolysis), and food can turn</w:t>
      </w:r>
      <w:r>
        <w:t xml:space="preserve"> </w:t>
      </w:r>
      <w:r>
        <w:t xml:space="preserve">“</w:t>
      </w:r>
      <w:r>
        <w:t xml:space="preserve">weird and smelly</w:t>
      </w:r>
      <w:r>
        <w:t xml:space="preserve">”</w:t>
      </w:r>
      <w:r>
        <w:t xml:space="preserve"> </w:t>
      </w:r>
      <w:r>
        <w:t xml:space="preserve">as it sits. This is another reason to keep the enzyme inert until the moment of use.</w:t>
      </w:r>
    </w:p>
    <w:p>
      <w:pPr>
        <w:pStyle w:val="Heading3"/>
      </w:pPr>
      <w:bookmarkStart w:id="31" w:name="Xb8ad0586881d52c06ad9c2b239973f9523cd0f8"/>
      <w:r>
        <w:t xml:space="preserve">f. Encapsulation (what it does and does not do)</w:t>
      </w:r>
      <w:bookmarkEnd w:id="31"/>
    </w:p>
    <w:p>
      <w:pPr>
        <w:numPr>
          <w:ilvl w:val="0"/>
          <w:numId w:val="1008"/>
        </w:numPr>
        <w:pStyle w:val="Compact"/>
      </w:pPr>
      <w:r>
        <w:t xml:space="preserve">Encapsulation is a</w:t>
      </w:r>
      <w:r>
        <w:t xml:space="preserve"> </w:t>
      </w:r>
      <w:r>
        <w:rPr>
          <w:b/>
        </w:rPr>
        <w:t xml:space="preserve">protective skin and a timing control.</w:t>
      </w:r>
      <w:r>
        <w:t xml:space="preserve"> </w:t>
      </w:r>
      <w:r>
        <w:t xml:space="preserve">It slows WHEN the enzyme touches its environment (a speed and delayed-release mechanism). It works in pill or powder form.</w:t>
      </w:r>
    </w:p>
    <w:p>
      <w:pPr>
        <w:numPr>
          <w:ilvl w:val="0"/>
          <w:numId w:val="1008"/>
        </w:numPr>
        <w:pStyle w:val="Compact"/>
      </w:pPr>
      <w:r>
        <w:t xml:space="preserve">It does</w:t>
      </w:r>
      <w:r>
        <w:t xml:space="preserve"> </w:t>
      </w:r>
      <w:r>
        <w:rPr>
          <w:b/>
        </w:rPr>
        <w:t xml:space="preserve">not</w:t>
      </w:r>
      <w:r>
        <w:t xml:space="preserve"> </w:t>
      </w:r>
      <w:r>
        <w:t xml:space="preserve">rescue an enzyme from something that would immediately deactivate it on contact. It buys time; it does not neutralize a killer condition.</w:t>
      </w:r>
    </w:p>
    <w:p>
      <w:pPr>
        <w:numPr>
          <w:ilvl w:val="0"/>
          <w:numId w:val="1008"/>
        </w:numPr>
        <w:pStyle w:val="Compact"/>
      </w:pPr>
      <w:r>
        <w:rPr>
          <w:b/>
        </w:rPr>
        <w:t xml:space="preserve">The dual chamber lowers the encapsulation bar:</w:t>
      </w:r>
      <w:r>
        <w:t xml:space="preserve"> </w:t>
      </w:r>
      <w:r>
        <w:t xml:space="preserve">because storage is handled by keeping the enzyme dry and separate, the capsule only has to survive minutes in the dressing plus the trip through the stomach, not months in acid.</w:t>
      </w:r>
    </w:p>
    <w:p>
      <w:pPr>
        <w:pStyle w:val="Heading3"/>
      </w:pPr>
      <w:bookmarkStart w:id="32" w:name="g.-dosing-logic"/>
      <w:r>
        <w:t xml:space="preserve">g. Dosing logic</w:t>
      </w:r>
      <w:bookmarkEnd w:id="32"/>
    </w:p>
    <w:p>
      <w:pPr>
        <w:numPr>
          <w:ilvl w:val="0"/>
          <w:numId w:val="1009"/>
        </w:numPr>
        <w:pStyle w:val="Compact"/>
      </w:pPr>
      <w:r>
        <w:rPr>
          <w:b/>
        </w:rPr>
        <w:t xml:space="preserve">Dose is driven by the substrate load, not the food weight.</w:t>
      </w:r>
      <w:r>
        <w:t xml:space="preserve"> </w:t>
      </w:r>
      <w:r>
        <w:t xml:space="preserve">The quantity of trigger food matters a lot (2 cups of beans versus 1). Benchmarks: lactase 900–18,000 FCC (Lactaid 9,000), alpha-gal 450–800 GalU (Beano 800).</w:t>
      </w:r>
    </w:p>
    <w:p>
      <w:pPr>
        <w:numPr>
          <w:ilvl w:val="0"/>
          <w:numId w:val="1009"/>
        </w:numPr>
        <w:pStyle w:val="Compact"/>
      </w:pPr>
      <w:r>
        <w:t xml:space="preserve">You can load enough enzyme to fully hydrolyze, but excess enzyme is an expensive way to solve it.</w:t>
      </w:r>
    </w:p>
    <w:p>
      <w:pPr>
        <w:numPr>
          <w:ilvl w:val="0"/>
          <w:numId w:val="1009"/>
        </w:numPr>
        <w:pStyle w:val="Compact"/>
      </w:pPr>
      <w:r>
        <w:rPr>
          <w:b/>
        </w:rPr>
        <w:t xml:space="preserve">Dose-decoupling</w:t>
      </w:r>
      <w:r>
        <w:t xml:space="preserve"> </w:t>
      </w:r>
      <w:r>
        <w:t xml:space="preserve">is a real problem: a fixed dose meets a variable meal. In the squeeze format the dose loosely self-scales with how much dressing is used, which softens it, and users can add a second squeeze for a big portion.</w:t>
      </w:r>
    </w:p>
    <w:p>
      <w:pPr>
        <w:pStyle w:val="Heading3"/>
      </w:pPr>
      <w:bookmarkStart w:id="33" w:name="X7f17782a78445b64278ad76da21de411068ec8e"/>
      <w:r>
        <w:t xml:space="preserve">h. Site of action and timing (race against the clock)</w:t>
      </w:r>
      <w:bookmarkEnd w:id="33"/>
    </w:p>
    <w:p>
      <w:pPr>
        <w:numPr>
          <w:ilvl w:val="0"/>
          <w:numId w:val="1010"/>
        </w:numPr>
        <w:pStyle w:val="Compact"/>
      </w:pPr>
      <w:r>
        <w:t xml:space="preserve">The enzyme must finish its work in roughly the</w:t>
      </w:r>
      <w:r>
        <w:t xml:space="preserve"> </w:t>
      </w:r>
      <w:r>
        <w:rPr>
          <w:b/>
        </w:rPr>
        <w:t xml:space="preserve">2–4 hour window between the mouth and the colon.</w:t>
      </w:r>
      <w:r>
        <w:t xml:space="preserve"> </w:t>
      </w:r>
      <w:r>
        <w:t xml:space="preserve">Each enzyme row is really a deadline, not a precise anatomical location.</w:t>
      </w:r>
    </w:p>
    <w:p>
      <w:pPr>
        <w:numPr>
          <w:ilvl w:val="0"/>
          <w:numId w:val="1010"/>
        </w:numPr>
        <w:pStyle w:val="Compact"/>
      </w:pPr>
      <w:r>
        <w:t xml:space="preserve">Decide, per enzyme, whether you want it to act on the food early (pre-hydrolysis) or survive to a specific point in the gut. Timing guidance for consumers may be needed (for example, add immediately or 5–10 minutes before eating).</w:t>
      </w:r>
    </w:p>
    <w:p>
      <w:pPr>
        <w:pStyle w:val="Heading3"/>
      </w:pPr>
      <w:bookmarkStart w:id="34" w:name="i.-the-inulin-and-prebiotic-tension"/>
      <w:r>
        <w:t xml:space="preserve">i. The inulin and prebiotic tension</w:t>
      </w:r>
      <w:bookmarkEnd w:id="34"/>
    </w:p>
    <w:p>
      <w:pPr>
        <w:numPr>
          <w:ilvl w:val="0"/>
          <w:numId w:val="1011"/>
        </w:numPr>
        <w:pStyle w:val="Compact"/>
      </w:pPr>
      <w:r>
        <w:t xml:space="preserve">Breaking down inulin, fructans, and GOS relieves gas, but those fibers are prebiotics that feed the gut microbiome, so</w:t>
      </w:r>
      <w:r>
        <w:t xml:space="preserve"> </w:t>
      </w:r>
      <w:r>
        <w:rPr>
          <w:b/>
        </w:rPr>
        <w:t xml:space="preserve">you may not want to fully break them down.</w:t>
      </w:r>
      <w:r>
        <w:t xml:space="preserve"> </w:t>
      </w:r>
      <w:r>
        <w:t xml:space="preserve">Dose to a symptom threshold rather than to zero. Note that garlic and onion carry more short-chain fructans than inulin.</w:t>
      </w:r>
    </w:p>
    <w:p>
      <w:pPr>
        <w:pStyle w:val="Heading3"/>
      </w:pPr>
      <w:bookmarkStart w:id="35" w:name="j.-natural-sources"/>
      <w:r>
        <w:t xml:space="preserve">j. Natural sources</w:t>
      </w:r>
      <w:bookmarkEnd w:id="35"/>
    </w:p>
    <w:p>
      <w:pPr>
        <w:numPr>
          <w:ilvl w:val="0"/>
          <w:numId w:val="1012"/>
        </w:numPr>
        <w:pStyle w:val="Compact"/>
      </w:pPr>
      <w:r>
        <w:t xml:space="preserve">Naturally occurring enzymes include bromelain (pineapple), papain (papaya), and diastase (honey). They are natural and clean-label but destroyed by cooking.</w:t>
      </w:r>
    </w:p>
    <w:p>
      <w:pPr>
        <w:numPr>
          <w:ilvl w:val="0"/>
          <w:numId w:val="1012"/>
        </w:numPr>
        <w:pStyle w:val="Compact"/>
      </w:pPr>
      <w:r>
        <w:t xml:space="preserve">A natural enzyme can be extracted, freeze-dried, and reactivated when the powder meets liquid.</w:t>
      </w:r>
    </w:p>
    <w:p>
      <w:pPr>
        <w:numPr>
          <w:ilvl w:val="0"/>
          <w:numId w:val="1012"/>
        </w:numPr>
        <w:pStyle w:val="Compact"/>
      </w:pPr>
      <w:r>
        <w:t xml:space="preserve">Positioning goal: the product should feel natural, not like a drug.</w:t>
      </w:r>
    </w:p>
    <w:p>
      <w:pPr>
        <w:pStyle w:val="Heading3"/>
      </w:pPr>
      <w:bookmarkStart w:id="36" w:name="k.-strain-blending-for-ph-coverage"/>
      <w:r>
        <w:t xml:space="preserve">k. Strain blending for pH coverage</w:t>
      </w:r>
      <w:bookmarkEnd w:id="36"/>
    </w:p>
    <w:p>
      <w:pPr>
        <w:numPr>
          <w:ilvl w:val="0"/>
          <w:numId w:val="1013"/>
        </w:numPr>
        <w:pStyle w:val="Compact"/>
      </w:pPr>
      <w:r>
        <w:t xml:space="preserve">Blending different enzyme strains or sources extends activity across more of the digestive tract at varied pH (Enzymedica does this). Example: pairing an acid fungal lactase with a neutral yeast lactase widens the active window.</w:t>
      </w:r>
    </w:p>
    <w:p>
      <w:pPr>
        <w:pStyle w:val="Heading3"/>
      </w:pPr>
      <w:bookmarkStart w:id="37" w:name="l.-food-grade-and-safety"/>
      <w:r>
        <w:t xml:space="preserve">l. Food-grade and safety</w:t>
      </w:r>
      <w:bookmarkEnd w:id="37"/>
    </w:p>
    <w:p>
      <w:pPr>
        <w:numPr>
          <w:ilvl w:val="0"/>
          <w:numId w:val="1014"/>
        </w:numPr>
        <w:pStyle w:val="Compact"/>
      </w:pPr>
      <w:r>
        <w:t xml:space="preserve">Enzymes must be food-grade (more expensive than technical grade). Lactase and alpha-galactosidase are largely already GRAS, which is a cost and time advantage. Food safety (GRAS, acidified-food rules) still applies to the finished product.</w:t>
      </w:r>
    </w:p>
    <w:p>
      <w:pPr>
        <w:pStyle w:val="Heading3"/>
      </w:pPr>
      <w:bookmarkStart w:id="38" w:name="X1a8691ee8d4732d97bc6966c154132e68c61dae"/>
      <w:r>
        <w:t xml:space="preserve">m. Format flags (the tool’s headline output heuristic)</w:t>
      </w:r>
      <w:bookmarkEnd w:id="38"/>
    </w:p>
    <w:p>
      <w:pPr>
        <w:numPr>
          <w:ilvl w:val="0"/>
          <w:numId w:val="1015"/>
        </w:numPr>
        <w:pStyle w:val="Compact"/>
      </w:pPr>
      <w:r>
        <w:rPr>
          <w:b/>
        </w:rPr>
        <w:t xml:space="preserve">Wet acidic vinaigrette = RED</w:t>
      </w:r>
      <w:r>
        <w:t xml:space="preserve"> </w:t>
      </w:r>
      <w:r>
        <w:t xml:space="preserve">for a standard acid lactase (low pH plus water plus shelf life).</w:t>
      </w:r>
    </w:p>
    <w:p>
      <w:pPr>
        <w:numPr>
          <w:ilvl w:val="0"/>
          <w:numId w:val="1015"/>
        </w:numPr>
        <w:pStyle w:val="Compact"/>
      </w:pPr>
      <w:r>
        <w:rPr>
          <w:b/>
        </w:rPr>
        <w:t xml:space="preserve">Creamy dressing = AMBER</w:t>
      </w:r>
      <w:r>
        <w:t xml:space="preserve"> </w:t>
      </w:r>
      <w:r>
        <w:t xml:space="preserve">(higher pH, still wet).</w:t>
      </w:r>
    </w:p>
    <w:p>
      <w:pPr>
        <w:numPr>
          <w:ilvl w:val="0"/>
          <w:numId w:val="1015"/>
        </w:numPr>
        <w:pStyle w:val="Compact"/>
      </w:pPr>
      <w:r>
        <w:rPr>
          <w:b/>
        </w:rPr>
        <w:t xml:space="preserve">Dry, separated, or encapsulated = GREEN</w:t>
      </w:r>
      <w:r>
        <w:t xml:space="preserve"> </w:t>
      </w:r>
      <w:r>
        <w:t xml:space="preserve">(inert until use).</w:t>
      </w:r>
    </w:p>
    <w:p>
      <w:r>
        <w:pict>
          <v:rect style="width:0;height:1.5pt" o:hralign="center" o:hrstd="t" o:hr="t"/>
        </w:pict>
      </w:r>
    </w:p>
    <w:p>
      <w:pPr>
        <w:pStyle w:val="Heading2"/>
      </w:pPr>
      <w:bookmarkStart w:id="39" w:name="tool-inputs-and-outputs"/>
      <w:r>
        <w:t xml:space="preserve">5. Tool inputs and outputs</w:t>
      </w:r>
      <w:bookmarkEnd w:id="39"/>
    </w:p>
    <w:p>
      <w:pPr>
        <w:pStyle w:val="FirstParagraph"/>
      </w:pPr>
      <w:r>
        <w:rPr>
          <w:b/>
        </w:rPr>
        <w:t xml:space="preserve">Inputs</w:t>
      </w:r>
      <w:r>
        <w:t xml:space="preserve"> </w:t>
      </w:r>
      <w:r>
        <w:t xml:space="preserve">- Recipe ingredients, each tagged with pH, water content, whether it is heat-processed, whether it contains a substrate, and whether it contains a protease.</w:t>
      </w:r>
      <w:r>
        <w:t xml:space="preserve"> </w:t>
      </w:r>
      <w:r>
        <w:t xml:space="preserve">- Target trigger foods or the meal it will be eaten with.</w:t>
      </w:r>
      <w:r>
        <w:t xml:space="preserve"> </w:t>
      </w:r>
      <w:r>
        <w:t xml:space="preserve">- Intended format (dry sachet, dual-chamber, pre-mixed).</w:t>
      </w:r>
    </w:p>
    <w:p>
      <w:pPr>
        <w:pStyle w:val="BodyText"/>
      </w:pPr>
      <w:r>
        <w:rPr>
          <w:b/>
        </w:rPr>
        <w:t xml:space="preserve">Outputs</w:t>
      </w:r>
      <w:r>
        <w:t xml:space="preserve"> </w:t>
      </w:r>
      <w:r>
        <w:t xml:space="preserve">- Recommended enzymes and doses for the target substrates.</w:t>
      </w:r>
      <w:r>
        <w:t xml:space="preserve"> </w:t>
      </w:r>
      <w:r>
        <w:t xml:space="preserve">- A per-enzyme pH and temperature compatibility check against the recipe and the GI gradient.</w:t>
      </w:r>
      <w:r>
        <w:t xml:space="preserve"> </w:t>
      </w:r>
      <w:r>
        <w:t xml:space="preserve">- Denaturation and co-formulation warnings (for example, protease present with lactase; pH below the enzyme minimum; a heat step after the enzyme is added).</w:t>
      </w:r>
      <w:r>
        <w:t xml:space="preserve"> </w:t>
      </w:r>
      <w:r>
        <w:t xml:space="preserve">- A taste and stability-over-time risk flag.</w:t>
      </w:r>
      <w:r>
        <w:t xml:space="preserve"> </w:t>
      </w:r>
      <w:r>
        <w:t xml:space="preserve">- A format and packaging recommendation (keep dry, separate chambers, encapsulate), with the RED / AMBER / GREEN flag.</w:t>
      </w:r>
    </w:p>
    <w:p>
      <w:r>
        <w:pict>
          <v:rect style="width:0;height:1.5pt" o:hralign="center" o:hrstd="t" o:hr="t"/>
        </w:pict>
      </w:r>
    </w:p>
    <w:p>
      <w:pPr>
        <w:pStyle w:val="Heading2"/>
      </w:pPr>
      <w:bookmarkStart w:id="40" w:name="the-data-the-tool-needs"/>
      <w:r>
        <w:t xml:space="preserve">6. The data the tool needs</w:t>
      </w:r>
      <w:bookmarkEnd w:id="40"/>
    </w:p>
    <w:p>
      <w:pPr>
        <w:numPr>
          <w:ilvl w:val="0"/>
          <w:numId w:val="1016"/>
        </w:numPr>
        <w:pStyle w:val="Compact"/>
      </w:pPr>
      <w:r>
        <w:rPr>
          <w:b/>
        </w:rPr>
        <w:t xml:space="preserve">Enzyme table:</w:t>
      </w:r>
      <w:r>
        <w:t xml:space="preserve"> </w:t>
      </w:r>
      <w:r>
        <w:t xml:space="preserve">enzyme, substrate, source options, pH min/max/optimal, temperature min/max/optimal, site of action, dose unit and typical range, food-grade supplier, cost tier, and an is-protease flag.</w:t>
      </w:r>
    </w:p>
    <w:p>
      <w:pPr>
        <w:numPr>
          <w:ilvl w:val="0"/>
          <w:numId w:val="1016"/>
        </w:numPr>
        <w:pStyle w:val="Compact"/>
      </w:pPr>
      <w:r>
        <w:rPr>
          <w:b/>
        </w:rPr>
        <w:t xml:space="preserve">Ingredient table:</w:t>
      </w:r>
      <w:r>
        <w:t xml:space="preserve"> </w:t>
      </w:r>
      <w:r>
        <w:t xml:space="preserve">ingredient, pH, substrate(s) present, protease present, heat-processed, water content.</w:t>
      </w:r>
    </w:p>
    <w:p>
      <w:pPr>
        <w:numPr>
          <w:ilvl w:val="0"/>
          <w:numId w:val="1016"/>
        </w:numPr>
        <w:pStyle w:val="Compact"/>
      </w:pPr>
      <w:r>
        <w:rPr>
          <w:b/>
        </w:rPr>
        <w:t xml:space="preserve">GI model:</w:t>
      </w:r>
      <w:r>
        <w:t xml:space="preserve"> </w:t>
      </w:r>
      <w:r>
        <w:t xml:space="preserve">pH by tract region and rough transit times, so the tool can check whether an enzyme’s active window lines up with where its substrate needs to be cleared.</w:t>
      </w:r>
    </w:p>
    <w:p>
      <w:pPr>
        <w:numPr>
          <w:ilvl w:val="0"/>
          <w:numId w:val="1016"/>
        </w:numPr>
        <w:pStyle w:val="Compact"/>
      </w:pPr>
      <w:r>
        <w:rPr>
          <w:b/>
        </w:rPr>
        <w:t xml:space="preserve">The rules</w:t>
      </w:r>
      <w:r>
        <w:t xml:space="preserve"> </w:t>
      </w:r>
      <w:r>
        <w:t xml:space="preserve">in Section 4, connecting the two tables into flags.</w:t>
      </w:r>
    </w:p>
    <w:p>
      <w:r>
        <w:pict>
          <v:rect style="width:0;height:1.5pt" o:hralign="center" o:hrstd="t" o:hr="t"/>
        </w:pict>
      </w:r>
    </w:p>
    <w:p>
      <w:pPr>
        <w:pStyle w:val="Heading2"/>
      </w:pPr>
      <w:bookmarkStart w:id="41" w:name="X7e4515d91c93b189a4f574254eddc7dcfd7590a"/>
      <w:r>
        <w:t xml:space="preserve">7. Open questions to validate (do not block the build)</w:t>
      </w:r>
      <w:bookmarkEnd w:id="41"/>
    </w:p>
    <w:p>
      <w:pPr>
        <w:numPr>
          <w:ilvl w:val="0"/>
          <w:numId w:val="1017"/>
        </w:numPr>
        <w:pStyle w:val="Compact"/>
      </w:pPr>
      <w:r>
        <w:t xml:space="preserve">Exact activity units and acid-tolerant variants, to confirm with enzyme suppliers (Amano and BIO-CAT are startup-friendly; Novonesis and IFF are the largest).</w:t>
      </w:r>
    </w:p>
    <w:p>
      <w:pPr>
        <w:numPr>
          <w:ilvl w:val="0"/>
          <w:numId w:val="1017"/>
        </w:numPr>
        <w:pStyle w:val="Compact"/>
      </w:pPr>
      <w:r>
        <w:t xml:space="preserve">Whether to break down inulin at all, given the prebiotic value.</w:t>
      </w:r>
    </w:p>
    <w:p>
      <w:pPr>
        <w:numPr>
          <w:ilvl w:val="0"/>
          <w:numId w:val="1017"/>
        </w:numPr>
        <w:pStyle w:val="Compact"/>
      </w:pPr>
      <w:r>
        <w:t xml:space="preserve">The encapsulation approach and supplier for the ready-to-eat format.</w:t>
      </w:r>
    </w:p>
    <w:p>
      <w:pPr>
        <w:numPr>
          <w:ilvl w:val="0"/>
          <w:numId w:val="1017"/>
        </w:numPr>
        <w:pStyle w:val="Compact"/>
      </w:pPr>
      <w:r>
        <w:t xml:space="preserve">Taste at effective dose, to be answered in kitchen-lab testing rather than in the tool.</w:t>
      </w:r>
    </w:p>
    <w:p>
      <w:r>
        <w:pict>
          <v:rect style="width:0;height:1.5pt" o:hralign="center" o:hrstd="t" o:hr="t"/>
        </w:pict>
      </w:r>
    </w:p>
    <w:p>
      <w:pPr>
        <w:pStyle w:val="FirstParagraph"/>
      </w:pPr>
      <w:r>
        <w:rPr>
          <w:i/>
        </w:rPr>
        <w:t xml:space="preserve">Sources synthesized: Food-Format Digestive Enzymes deck (08.03.2026); Enzyme Site of Action deck (08.07.2026); George Annor (UMN food science) meeting notes; Wyss Institute (Sam Inverso) notes; Dianne Rishikof (functional nutrition) notes; and ongoing formulation discussions.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2026-08-13T19:11:34Z</dcterms:created>
  <dcterms:modified xsi:type="dcterms:W3CDTF">2026-08-13T19:11:34Z</dcterms:modified>
</cp:coreProperties>
</file>

<file path=docProps/custom.xml><?xml version="1.0" encoding="utf-8"?>
<Properties xmlns="http://schemas.openxmlformats.org/officeDocument/2006/custom-properties" xmlns:vt="http://schemas.openxmlformats.org/officeDocument/2006/docPropsVTypes"/>
</file>