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Charte de Gouvernance IA &amp; Sécurité Multi-sites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Statut :</w:t>
      </w:r>
      <w:r w:rsidDel="00000000" w:rsidR="00000000" w:rsidRPr="00000000">
        <w:rPr>
          <w:rtl w:val="0"/>
        </w:rPr>
        <w:t xml:space="preserve"> Document de Référence Inter-sites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Structurer l'usage de l'Intelligence Artificielle Générative (Gemini public) et centraliser les connaissances de manière sécurisée via NotebookLM sous la validation du DPO et du RSSI.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La Matrice Tactique "Feu Vert / Feu Rouge"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Cette matrice définit strictement les limites d'utilisation des outils d'IA grand public pour l'ensemble des collaborateurs des 3 sites opérationnels.</w:t>
      </w:r>
    </w:p>
    <w:tbl>
      <w:tblPr>
        <w:tblStyle w:val="Table1"/>
        <w:tblW w:w="10920.0" w:type="dxa"/>
        <w:jc w:val="left"/>
        <w:tblInd w:w="-750.0" w:type="dxa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895"/>
        <w:gridCol w:w="3450"/>
        <w:gridCol w:w="4575"/>
        <w:tblGridChange w:id="0">
          <w:tblGrid>
            <w:gridCol w:w="2895"/>
            <w:gridCol w:w="3450"/>
            <w:gridCol w:w="45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Niveau de Risque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Usages Autorisés / Interdits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Exemples Concrets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cbd5e1"/>
                <w:sz w:val="27"/>
                <w:szCs w:val="27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FEU VERT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(Gemini Public autorisé)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Traitements de données génériques, publiques ou non stratégiques. Aucune donnée d'entreprise ou personnelle.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Reformulation de courriels génériques.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Correction ou optimisation de code non sensible (HTML/CSS).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Brainstorming d'idées de communication ou de formats d'ateliers.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cbd5e1"/>
                <w:sz w:val="27"/>
                <w:szCs w:val="27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FEU ORANGE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(Sous condition)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Analyses macroéconomiques, veilles technologiques et sectorielles sans injection de données internes.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Synthèse de rapports sectoriels publics.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Recherche de tendances globales sur l'IA ou la Data Science.</w:t>
            </w:r>
          </w:p>
        </w:tc>
      </w:tr>
      <w:tr>
        <w:trPr>
          <w:cantSplit w:val="0"/>
          <w:trHeight w:val="3450" w:hRule="atLeast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cbd5e1"/>
                <w:sz w:val="27"/>
                <w:szCs w:val="27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FEU ROUGE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(Interdiction stricte)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Données hautement sensibles, stratégiques, financières, personnelles ou liées à la gestion des risques.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Stratégies de développement de l'entreprise.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Données chiffrées (CA, marges, budgets des sites).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Comptes-rendus de réunions inter-sites contenant des noms propres.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Documents de gestion de crise ou d'analyse des risques cyber.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 Guide de Prompting Sécurisé "Copy-Paste"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Pour maximiser la productivité sans risquer de fuite de données, les collaborateurs doivent utiliser exclusivement des structures de prompts anonymisées et abstraites.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Template 1 : Analyse de Texte Désensibilisé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180" w:right="180" w:firstLine="0"/>
        <w:rPr>
          <w:rFonts w:ascii="Courier" w:cs="Courier" w:eastAsia="Courier" w:hAnsi="Courier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hd w:fill="edf2f7" w:val="clear"/>
          <w:rtl w:val="0"/>
        </w:rPr>
        <w:t xml:space="preserve">Agis en tant qu'expert en stratégie digitale. Analyse le texte descriptif anonymisé suivant pour en extraire 3 axes majeurs d'amélioration et suggérer des actions concrètes. Ne conserve aucun nom de personne, de lieu ou de marque dans ta réponse.</w:t>
        <w:br w:type="textWrapping"/>
        <w:br w:type="textWrapping"/>
        <w:t xml:space="preserve">[Insérer le texte préalablement nettoyé de toute donnée sensible ici]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Template 2 : Optimisation de Code Technique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180" w:right="180" w:firstLine="0"/>
        <w:rPr>
          <w:rFonts w:ascii="Courier" w:cs="Courier" w:eastAsia="Courier" w:hAnsi="Courier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hd w:fill="edf2f7" w:val="clear"/>
          <w:rtl w:val="0"/>
        </w:rPr>
        <w:t xml:space="preserve">Agis en tant que Développeur Senior. Optimise ce script générique pour en améliorer la sécurité et les performances. Explique brièvement les modifications apportées.</w:t>
        <w:br w:type="textWrapping"/>
        <w:br w:type="textWrapping"/>
        <w:t xml:space="preserve">[Insérer le bloc de code générique sans clés d'API ni identifiants ici]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Template 3 : Structuration de Plan d'Action Académique ou de Veille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180" w:right="180" w:firstLine="0"/>
        <w:rPr>
          <w:rFonts w:ascii="Courier" w:cs="Courier" w:eastAsia="Courier" w:hAnsi="Courier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hd w:fill="edf2f7" w:val="clear"/>
          <w:rtl w:val="0"/>
        </w:rPr>
        <w:t xml:space="preserve">Agis en tant que Directeur de Projet Numérique. Propose une structure de plan d'action en 5 étapes pour déployer une démarche de gouvernance de données dans un secteur industriel. Reste sur des concepts théoriques et des meilleures pratiques du marché.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Le Protocole de Synchro &amp; Validation NotebookLM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NotebookLM est notre outil de centralisation des connaissances partagées entre les 3 sites. Son alimentation est strictement réglementée.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Le Circuit Officiel de Centralisation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L'intégration de toute nouvelle source de données suit un workflow obligatoire en 4 étapes 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Identification :</w:t>
      </w:r>
      <w:r w:rsidDel="00000000" w:rsidR="00000000" w:rsidRPr="00000000">
        <w:rPr>
          <w:rtl w:val="0"/>
        </w:rPr>
        <w:t xml:space="preserve"> Un collaborateur identifie un document ou une source d'information utile pour les 3 sites.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Nettoyage :</w:t>
      </w:r>
      <w:r w:rsidDel="00000000" w:rsidR="00000000" w:rsidRPr="00000000">
        <w:rPr>
          <w:rtl w:val="0"/>
        </w:rPr>
        <w:t xml:space="preserve"> Le document est expurgé de toute donnée confidentielle ou personnelle critique.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Soumission :</w:t>
      </w:r>
      <w:r w:rsidDel="00000000" w:rsidR="00000000" w:rsidRPr="00000000">
        <w:rPr>
          <w:rtl w:val="0"/>
        </w:rPr>
        <w:t xml:space="preserve"> La source est envoyée pour validation officielle au DPO (Privacy) et au RSSI (Sécurité).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Intégration :</w:t>
      </w:r>
      <w:r w:rsidDel="00000000" w:rsidR="00000000" w:rsidRPr="00000000">
        <w:rPr>
          <w:rtl w:val="0"/>
        </w:rPr>
        <w:t xml:space="preserve"> Après validation formelle, le document est téléversé dans le NotebookLM commun.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Règles de Tagging et de Structure des Notes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Pour maintenir un alignement parfait et faciliter les requêtes croisées, chaque source ajoutée doit comporter l'en-tête standardisé suivant 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180" w:right="180" w:firstLine="0"/>
        <w:rPr>
          <w:rFonts w:ascii="Courier" w:cs="Courier" w:eastAsia="Courier" w:hAnsi="Courier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hd w:fill="edf2f7" w:val="clear"/>
          <w:rtl w:val="0"/>
        </w:rPr>
        <w:t xml:space="preserve">---</w:t>
        <w:br w:type="textWrapping"/>
        <w:t xml:space="preserve">SOURCE_TYPE: [Livre Blanc / Rapport Public / Méthodologie Interne]</w:t>
        <w:br w:type="textWrapping"/>
        <w:t xml:space="preserve">SITE_ORIGINE: [Central / Site A / Site B]</w:t>
        <w:br w:type="textWrapping"/>
        <w:t xml:space="preserve">DATE_VALIDATION: [AAAA-MM-JJ]</w:t>
        <w:br w:type="textWrapping"/>
        <w:t xml:space="preserve">VALIDATEURS: [DPO_Nom / RSSI_Nom]</w:t>
        <w:br w:type="textWrapping"/>
        <w:t xml:space="preserve">---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widowControl w:val="1"/>
      <w:tabs>
        <w:tab w:val="left" w:leader="none" w:pos="2244"/>
        <w:tab w:val="center" w:leader="none" w:pos="4550"/>
        <w:tab w:val="left" w:leader="none" w:pos="5818"/>
        <w:tab w:val="right" w:leader="none" w:pos="9100"/>
      </w:tabs>
      <w:spacing w:after="200" w:line="276" w:lineRule="auto"/>
      <w:ind w:right="260"/>
      <w:jc w:val="center"/>
      <w:rPr/>
    </w:pPr>
    <w:r w:rsidDel="00000000" w:rsidR="00000000" w:rsidRPr="00000000">
      <w:rPr>
        <w:color w:val="333333"/>
      </w:rPr>
      <w:drawing>
        <wp:inline distB="0" distT="0" distL="0" distR="0">
          <wp:extent cx="1114992" cy="103862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8943" l="31707" r="32405" t="19814"/>
                  <a:stretch>
                    <a:fillRect/>
                  </a:stretch>
                </pic:blipFill>
                <pic:spPr>
                  <a:xfrm>
                    <a:off x="0" y="0"/>
                    <a:ext cx="1114992" cy="103862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548dd4"/>
        <w:sz w:val="24"/>
        <w:szCs w:val="24"/>
        <w:rtl w:val="0"/>
      </w:rPr>
      <w:tab/>
      <w:tab/>
    </w:r>
    <w:r w:rsidDel="00000000" w:rsidR="00000000" w:rsidRPr="00000000">
      <w:rPr>
        <w:color w:val="548dd4"/>
        <w:sz w:val="24"/>
        <w:szCs w:val="24"/>
      </w:rPr>
      <w:drawing>
        <wp:inline distB="0" distT="0" distL="0" distR="0">
          <wp:extent cx="1451623" cy="580649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1623" cy="58064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548dd4"/>
        <w:sz w:val="24"/>
        <w:szCs w:val="24"/>
        <w:rtl w:val="0"/>
      </w:rPr>
      <w:tab/>
      <w:tab/>
    </w:r>
    <w:r w:rsidDel="00000000" w:rsidR="00000000" w:rsidRPr="00000000">
      <w:rPr>
        <w:color w:val="17365d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17365d"/>
        <w:sz w:val="24"/>
        <w:szCs w:val="24"/>
        <w:rtl w:val="0"/>
      </w:rPr>
      <w:t xml:space="preserve"> | </w:t>
    </w:r>
    <w:r w:rsidDel="00000000" w:rsidR="00000000" w:rsidRPr="00000000">
      <w:rPr>
        <w:color w:val="17365d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widowControl w:val="1"/>
      <w:tabs>
        <w:tab w:val="center" w:leader="none" w:pos="4680"/>
        <w:tab w:val="right" w:leader="none" w:pos="9360"/>
      </w:tabs>
      <w:spacing w:line="240" w:lineRule="auto"/>
      <w:jc w:val="center"/>
      <w:rPr/>
    </w:pPr>
    <w:r w:rsidDel="00000000" w:rsidR="00000000" w:rsidRPr="00000000">
      <w:rPr>
        <w:color w:val="333333"/>
        <w:rtl w:val="0"/>
      </w:rPr>
      <w:t xml:space="preserve">Charte de Gouvernance IA</w:t>
      <w:tab/>
      <w:tab/>
      <w:t xml:space="preserve"> Team FHMV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40" w:lineRule="auto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Rule="auto"/>
    </w:pPr>
    <w:rPr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25" w:lineRule="auto"/>
    </w:pPr>
    <w:rPr>
      <w:b w:val="1"/>
      <w:bCs w:val="1"/>
      <w:i w:val="0"/>
      <w:iCs w:val="0"/>
      <w:color w:val="4a5568"/>
      <w:sz w:val="20"/>
      <w:szCs w:val="2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