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720" w:lineRule="auto"/>
        <w:jc w:val="center"/>
        <w:rPr>
          <w:rFonts w:ascii="Calibri" w:cs="Calibri" w:eastAsia="Calibri" w:hAnsi="Calibri"/>
          <w:i w:val="1"/>
          <w:iCs w:val="1"/>
          <w:color w:val="4f81bd"/>
          <w:sz w:val="24"/>
          <w:szCs w:val="24"/>
        </w:rPr>
      </w:pPr>
      <w:r w:rsidDel="00000000" w:rsidR="00000000" w:rsidRPr="00000000">
        <w:rPr>
          <w:rFonts w:ascii="Calibri" w:cs="Calibri" w:eastAsia="Calibri" w:hAnsi="Calibri"/>
          <w:color w:val="17365d"/>
          <w:sz w:val="52"/>
          <w:szCs w:val="52"/>
          <w:rtl w:val="0"/>
        </w:rPr>
        <w:t xml:space="preserve">NOTE DE CADRAGE</w:t>
      </w:r>
      <w:r w:rsidDel="00000000" w:rsidR="00000000" w:rsidRPr="00000000">
        <w:rPr>
          <w:b w:val="1"/>
          <w:bCs w:val="1"/>
          <w:color w:val="1a2b48"/>
          <w:sz w:val="48"/>
          <w:szCs w:val="48"/>
          <w:rtl w:val="0"/>
        </w:rPr>
        <w:br w:type="textWrapping"/>
      </w:r>
      <w:r w:rsidDel="00000000" w:rsidR="00000000" w:rsidRPr="00000000">
        <w:rPr>
          <w:rFonts w:ascii="Calibri" w:cs="Calibri" w:eastAsia="Calibri" w:hAnsi="Calibri"/>
          <w:i w:val="1"/>
          <w:iCs w:val="1"/>
          <w:color w:val="4f81bd"/>
          <w:sz w:val="24"/>
          <w:szCs w:val="24"/>
          <w:rtl w:val="0"/>
        </w:rPr>
        <w:t xml:space="preserve">Tableau de Bord Cybersécurité pour Dirigeants</w:t>
      </w:r>
    </w:p>
    <w:p w:rsidR="00000000" w:rsidDel="00000000" w:rsidP="00000000" w:rsidRDefault="00000000" w:rsidRPr="00000000" w14:paraId="00000002">
      <w:pPr>
        <w:pStyle w:val="Subtitle"/>
        <w:jc w:val="center"/>
        <w:rPr/>
      </w:pPr>
      <w:r w:rsidDel="00000000" w:rsidR="00000000" w:rsidRPr="00000000">
        <w:rPr>
          <w:rtl w:val="0"/>
        </w:rPr>
        <w:t xml:space="preserve">Projet de Pilotage Stratégique – LogiSafe International</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Version : </w:t>
      </w:r>
      <w:r w:rsidDel="00000000" w:rsidR="00000000" w:rsidRPr="00000000">
        <w:rPr>
          <w:rtl w:val="0"/>
        </w:rPr>
        <w:t xml:space="preserve">1.0 (V1)</w:t>
        <w:br w:type="textWrapping"/>
      </w:r>
      <w:r w:rsidDel="00000000" w:rsidR="00000000" w:rsidRPr="00000000">
        <w:rPr>
          <w:b w:val="1"/>
          <w:bCs w:val="1"/>
          <w:rtl w:val="0"/>
        </w:rPr>
        <w:t xml:space="preserve">Auteur : </w:t>
      </w:r>
      <w:r w:rsidDel="00000000" w:rsidR="00000000" w:rsidRPr="00000000">
        <w:rPr>
          <w:rtl w:val="0"/>
        </w:rPr>
        <w:t xml:space="preserve">Volny (Chef de Projet)</w:t>
        <w:br w:type="textWrapping"/>
      </w:r>
      <w:r w:rsidDel="00000000" w:rsidR="00000000" w:rsidRPr="00000000">
        <w:rPr>
          <w:b w:val="1"/>
          <w:bCs w:val="1"/>
          <w:rtl w:val="0"/>
        </w:rPr>
        <w:t xml:space="preserve">Équipe Projet : </w:t>
      </w:r>
      <w:r w:rsidDel="00000000" w:rsidR="00000000" w:rsidRPr="00000000">
        <w:rPr>
          <w:rtl w:val="0"/>
        </w:rPr>
        <w:t xml:space="preserve">Mohammad (Responsable IA), Feity (Responsable Risques), Hakima (Assistante)</w:t>
        <w:br w:type="textWrapping"/>
      </w:r>
      <w:r w:rsidDel="00000000" w:rsidR="00000000" w:rsidRPr="00000000">
        <w:rPr>
          <w:b w:val="1"/>
          <w:bCs w:val="1"/>
          <w:rtl w:val="0"/>
        </w:rPr>
        <w:t xml:space="preserve">Organisation cible : </w:t>
      </w:r>
      <w:r w:rsidDel="00000000" w:rsidR="00000000" w:rsidRPr="00000000">
        <w:rPr>
          <w:rtl w:val="0"/>
        </w:rPr>
        <w:t xml:space="preserve">LogiSafe International (450 collaborateurs, 3 sites logistiques)</w:t>
      </w:r>
    </w:p>
    <w:p w:rsidR="00000000" w:rsidDel="00000000" w:rsidP="00000000" w:rsidRDefault="00000000" w:rsidRPr="00000000" w14:paraId="00000005">
      <w:pPr>
        <w:jc w:val="center"/>
        <w:rPr/>
      </w:pPr>
      <w:r w:rsidDel="00000000" w:rsidR="00000000" w:rsidRPr="00000000">
        <w:rPr/>
        <w:drawing>
          <wp:inline distB="0" distT="0" distL="0" distR="0">
            <wp:extent cx="2375504" cy="2212798"/>
            <wp:effectExtent b="0" l="0" r="0" t="0"/>
            <wp:docPr id="1" name="image2.png"/>
            <a:graphic>
              <a:graphicData uri="http://schemas.openxmlformats.org/drawingml/2006/picture">
                <pic:pic>
                  <pic:nvPicPr>
                    <pic:cNvPr id="0" name="image2.png"/>
                    <pic:cNvPicPr preferRelativeResize="0"/>
                  </pic:nvPicPr>
                  <pic:blipFill>
                    <a:blip r:embed="rId7"/>
                    <a:srcRect b="18943" l="31707" r="32405" t="19814"/>
                    <a:stretch>
                      <a:fillRect/>
                    </a:stretch>
                  </pic:blipFill>
                  <pic:spPr>
                    <a:xfrm>
                      <a:off x="0" y="0"/>
                      <a:ext cx="2375504" cy="221279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1. Contexte et Problématique</w:t>
      </w:r>
    </w:p>
    <w:p w:rsidR="00000000" w:rsidDel="00000000" w:rsidP="00000000" w:rsidRDefault="00000000" w:rsidRPr="00000000" w14:paraId="0000000A">
      <w:pPr>
        <w:rPr/>
      </w:pPr>
      <w:r w:rsidDel="00000000" w:rsidR="00000000" w:rsidRPr="00000000">
        <w:rPr>
          <w:rtl w:val="0"/>
        </w:rPr>
        <w:t xml:space="preserve">LogiSafe International, entreprise de premier plan dans le secteur du transport et de la logistique de marchandises critiques, opère sur 3 sites avec un effectif de 450 collaborateurs. Récemment victime d'une tentative d'intrusion cyber majeure, l'organisation fait face à une pression accrue de son conseil d'administration. Le PDG, Marc Lefebvre, exige désormais une visibilité claire, fiable et synthétique sur la posture de sécurité de l'entreprise afin de guider les investissements futurs.</w:t>
      </w:r>
    </w:p>
    <w:p w:rsidR="00000000" w:rsidDel="00000000" w:rsidP="00000000" w:rsidRDefault="00000000" w:rsidRPr="00000000" w14:paraId="0000000B">
      <w:pPr>
        <w:rPr/>
      </w:pPr>
      <w:r w:rsidDel="00000000" w:rsidR="00000000" w:rsidRPr="00000000">
        <w:rPr>
          <w:rtl w:val="0"/>
        </w:rPr>
        <w:t xml:space="preserve">Actuellement, les données de cybersécurité sont hautement techniques, éparpillées et inaccessibles pour les membres du Comité de Direction (CODIR). L'enjeu consiste à traduire cette complexité technique en indicateurs de performance (KPI) orientés business, permettant de concilier la robustesse technologique et la réactivité humaine face aux crises.</w:t>
      </w:r>
    </w:p>
    <w:p w:rsidR="00000000" w:rsidDel="00000000" w:rsidP="00000000" w:rsidRDefault="00000000" w:rsidRPr="00000000" w14:paraId="0000000C">
      <w:pPr>
        <w:pStyle w:val="Heading1"/>
        <w:rPr/>
      </w:pPr>
      <w:r w:rsidDel="00000000" w:rsidR="00000000" w:rsidRPr="00000000">
        <w:rPr>
          <w:rtl w:val="0"/>
        </w:rPr>
        <w:t xml:space="preserve">2. Objectifs du Projet (SMART)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Objectif de Conception (Produit) :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Concevoir un prototype fonctionnel sur </w:t>
      </w:r>
      <w:r w:rsidDel="00000000" w:rsidR="00000000" w:rsidRPr="00000000">
        <w:rPr>
          <w:rtl w:val="0"/>
        </w:rPr>
        <w:t xml:space="preserve">Google Sheets et Google Slides</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d'un simulateur d'impact budgétaire regroupant au moins 5 indicateurs clés (KPI) de performance cyber d'ici la fin du J3.</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Objectif de Gouvernance (Fiabilité) :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Établir un plan de gouvernance définissant 100% des sources de données et les fréquences de mise à jour pour chaque indicateur sélectionné.</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Objectif de Décision (Soutenance) :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Obtenir une décision de lancement ('Go') du comité de direction lors de la soutenance du J4 en présentant un business case justifiant la valeur stratégique du projet.</w:t>
      </w:r>
    </w:p>
    <w:p w:rsidR="00000000" w:rsidDel="00000000" w:rsidP="00000000" w:rsidRDefault="00000000" w:rsidRPr="00000000" w14:paraId="00000010">
      <w:pPr>
        <w:pStyle w:val="Heading1"/>
        <w:rPr/>
      </w:pPr>
      <w:r w:rsidDel="00000000" w:rsidR="00000000" w:rsidRPr="00000000">
        <w:rPr>
          <w:rtl w:val="0"/>
        </w:rPr>
        <w:t xml:space="preserve">3. Périmètre du Projet</w:t>
      </w:r>
    </w:p>
    <w:p w:rsidR="00000000" w:rsidDel="00000000" w:rsidP="00000000" w:rsidRDefault="00000000" w:rsidRPr="00000000" w14:paraId="00000011">
      <w:pPr>
        <w:pStyle w:val="Heading2"/>
        <w:rPr/>
      </w:pPr>
      <w:r w:rsidDel="00000000" w:rsidR="00000000" w:rsidRPr="00000000">
        <w:rPr>
          <w:rtl w:val="0"/>
        </w:rPr>
        <w:t xml:space="preserve">Inclus (Périmètre)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Sélection et définition de 5 KPI cyber majeurs vulgarisés pour les dirigeants.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Développement d'un prototype de simulateur d'impact basé sur </w:t>
      </w:r>
      <w:r w:rsidDel="00000000" w:rsidR="00000000" w:rsidRPr="00000000">
        <w:rPr>
          <w:rtl w:val="0"/>
        </w:rPr>
        <w:t xml:space="preserve">Google Sheets et slides avec des résultats par feux tricolores.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Plan d'action immédiat pour les managers opérationnels.</w:t>
      </w:r>
    </w:p>
    <w:p w:rsidR="00000000" w:rsidDel="00000000" w:rsidP="00000000" w:rsidRDefault="00000000" w:rsidRPr="00000000" w14:paraId="00000015">
      <w:pPr>
        <w:pStyle w:val="Heading2"/>
        <w:rPr/>
      </w:pPr>
      <w:r w:rsidDel="00000000" w:rsidR="00000000" w:rsidRPr="00000000">
        <w:rPr>
          <w:rtl w:val="0"/>
        </w:rPr>
        <w:t xml:space="preserve">Hors-Périmètre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Déploiement d'outils de Business Intelligence industriels (ex : </w:t>
      </w:r>
      <w:r w:rsidDel="00000000" w:rsidR="00000000" w:rsidRPr="00000000">
        <w:rPr>
          <w:rtl w:val="0"/>
        </w:rPr>
        <w:t xml:space="preserve">Google Sheets</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durant cette phase de cadrage.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Automatisation technique en temps réel via des connecteurs API vers les outils de production (Sentinel, Crowdstrike).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Simulations dynamiques de questions de soutenance ou de crises automatisées (exclues temporairement).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 Partie Prenantes</w:t>
      </w:r>
    </w:p>
    <w:p w:rsidR="00000000" w:rsidDel="00000000" w:rsidP="00000000" w:rsidRDefault="00000000" w:rsidRPr="00000000" w14:paraId="0000001D">
      <w:pPr>
        <w:ind w:left="360" w:firstLine="0"/>
        <w:rPr/>
      </w:pPr>
      <w:r w:rsidDel="00000000" w:rsidR="00000000" w:rsidRPr="00000000">
        <w:rPr>
          <w:rtl w:val="0"/>
        </w:rPr>
      </w:r>
    </w:p>
    <w:tbl>
      <w:tblPr>
        <w:tblStyle w:val="Table1"/>
        <w:tblW w:w="11341.0" w:type="dxa"/>
        <w:jc w:val="left"/>
        <w:tblInd w:w="-948.0" w:type="dxa"/>
        <w:tblLayout w:type="fixed"/>
        <w:tblLook w:val="0400"/>
      </w:tblPr>
      <w:tblGrid>
        <w:gridCol w:w="2411"/>
        <w:gridCol w:w="2977"/>
        <w:gridCol w:w="3260"/>
        <w:gridCol w:w="2693"/>
        <w:tblGridChange w:id="0">
          <w:tblGrid>
            <w:gridCol w:w="2411"/>
            <w:gridCol w:w="2977"/>
            <w:gridCol w:w="3260"/>
            <w:gridCol w:w="2693"/>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E">
            <w:pPr>
              <w:ind w:left="360" w:firstLine="0"/>
              <w:rPr/>
            </w:pPr>
            <w:r w:rsidDel="00000000" w:rsidR="00000000" w:rsidRPr="00000000">
              <w:rPr>
                <w:b w:val="1"/>
                <w:bCs w:val="1"/>
                <w:rtl w:val="0"/>
              </w:rPr>
              <w:t xml:space="preserve">Partie Prenante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F">
            <w:pPr>
              <w:ind w:left="360" w:firstLine="0"/>
              <w:rPr/>
            </w:pPr>
            <w:r w:rsidDel="00000000" w:rsidR="00000000" w:rsidRPr="00000000">
              <w:rPr>
                <w:b w:val="1"/>
                <w:bCs w:val="1"/>
                <w:rtl w:val="0"/>
              </w:rPr>
              <w:t xml:space="preserve">Rôle dans le Projet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0">
            <w:pPr>
              <w:ind w:left="360" w:firstLine="0"/>
              <w:rPr/>
            </w:pPr>
            <w:r w:rsidDel="00000000" w:rsidR="00000000" w:rsidRPr="00000000">
              <w:rPr>
                <w:b w:val="1"/>
                <w:bCs w:val="1"/>
                <w:rtl w:val="0"/>
              </w:rPr>
              <w:t xml:space="preserve">Intérêt principal / Attente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1">
            <w:pPr>
              <w:ind w:left="360" w:firstLine="0"/>
              <w:rPr/>
            </w:pPr>
            <w:r w:rsidDel="00000000" w:rsidR="00000000" w:rsidRPr="00000000">
              <w:rPr>
                <w:b w:val="1"/>
                <w:bCs w:val="1"/>
                <w:rtl w:val="0"/>
              </w:rPr>
              <w:t xml:space="preserve">Levier d'action (6 mois)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2">
            <w:pPr>
              <w:ind w:left="360" w:firstLine="0"/>
              <w:rPr/>
            </w:pPr>
            <w:r w:rsidDel="00000000" w:rsidR="00000000" w:rsidRPr="00000000">
              <w:rPr>
                <w:b w:val="1"/>
                <w:bCs w:val="1"/>
                <w:rtl w:val="0"/>
              </w:rPr>
              <w:t xml:space="preserve">Sponsors / Direction Générale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3">
            <w:pPr>
              <w:ind w:left="360" w:firstLine="0"/>
              <w:rPr/>
            </w:pPr>
            <w:r w:rsidDel="00000000" w:rsidR="00000000" w:rsidRPr="00000000">
              <w:rPr>
                <w:rtl w:val="0"/>
              </w:rPr>
              <w:t xml:space="preserve">Arbitrage et validation stratégique.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4">
            <w:pPr>
              <w:ind w:left="360" w:firstLine="0"/>
              <w:rPr/>
            </w:pPr>
            <w:r w:rsidDel="00000000" w:rsidR="00000000" w:rsidRPr="00000000">
              <w:rPr>
                <w:rtl w:val="0"/>
              </w:rPr>
              <w:t xml:space="preserve">ROI, conformité globale et sécurité.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5">
            <w:pPr>
              <w:ind w:left="360" w:firstLine="0"/>
              <w:rPr/>
            </w:pPr>
            <w:r w:rsidDel="00000000" w:rsidR="00000000" w:rsidRPr="00000000">
              <w:rPr>
                <w:rtl w:val="0"/>
              </w:rPr>
              <w:t xml:space="preserve">Présentation de la "Boussole" comme outil d'aide à la décision.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6">
            <w:pPr>
              <w:ind w:left="360" w:firstLine="0"/>
              <w:rPr/>
            </w:pPr>
            <w:r w:rsidDel="00000000" w:rsidR="00000000" w:rsidRPr="00000000">
              <w:rPr>
                <w:b w:val="1"/>
                <w:bCs w:val="1"/>
                <w:rtl w:val="0"/>
              </w:rPr>
              <w:t xml:space="preserve">Équipes Terrain / Opérationnels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7">
            <w:pPr>
              <w:ind w:left="360" w:firstLine="0"/>
              <w:rPr/>
            </w:pPr>
            <w:r w:rsidDel="00000000" w:rsidR="00000000" w:rsidRPr="00000000">
              <w:rPr>
                <w:rtl w:val="0"/>
              </w:rPr>
              <w:t xml:space="preserve">Utilisateurs finaux du Kit.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8">
            <w:pPr>
              <w:ind w:left="360" w:firstLine="0"/>
              <w:rPr/>
            </w:pPr>
            <w:r w:rsidDel="00000000" w:rsidR="00000000" w:rsidRPr="00000000">
              <w:rPr>
                <w:rtl w:val="0"/>
              </w:rPr>
              <w:t xml:space="preserve">Simplicité, utilité directe, pas de surcharge.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9">
            <w:pPr>
              <w:ind w:left="360" w:firstLine="0"/>
              <w:rPr/>
            </w:pPr>
            <w:r w:rsidDel="00000000" w:rsidR="00000000" w:rsidRPr="00000000">
              <w:rPr>
                <w:rtl w:val="0"/>
              </w:rPr>
              <w:t xml:space="preserve">Ateliers ludiques (ex: simulation de crise cyber/RGPD type "Vis ma vie").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A">
            <w:pPr>
              <w:ind w:left="360" w:firstLine="0"/>
              <w:rPr/>
            </w:pPr>
            <w:r w:rsidDel="00000000" w:rsidR="00000000" w:rsidRPr="00000000">
              <w:rPr>
                <w:b w:val="1"/>
                <w:bCs w:val="1"/>
                <w:rtl w:val="0"/>
              </w:rPr>
              <w:t xml:space="preserve">Référents Data / DPO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B">
            <w:pPr>
              <w:ind w:left="360" w:firstLine="0"/>
              <w:rPr/>
            </w:pPr>
            <w:r w:rsidDel="00000000" w:rsidR="00000000" w:rsidRPr="00000000">
              <w:rPr>
                <w:rtl w:val="0"/>
              </w:rPr>
              <w:t xml:space="preserve">Garants de la gouvernance et de l'éthique.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C">
            <w:pPr>
              <w:ind w:left="360" w:firstLine="0"/>
              <w:rPr/>
            </w:pPr>
            <w:r w:rsidDel="00000000" w:rsidR="00000000" w:rsidRPr="00000000">
              <w:rPr>
                <w:rtl w:val="0"/>
              </w:rPr>
              <w:t xml:space="preserve">Respect du RGPD, qualité des données entrantes.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D">
            <w:pPr>
              <w:ind w:left="360" w:firstLine="0"/>
              <w:rPr/>
            </w:pPr>
            <w:r w:rsidDel="00000000" w:rsidR="00000000" w:rsidRPr="00000000">
              <w:rPr>
                <w:rtl w:val="0"/>
              </w:rPr>
              <w:t xml:space="preserve">Co-construction de l'Algorithme et des KPI de suivi.</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E">
            <w:pPr>
              <w:ind w:left="360" w:firstLine="0"/>
              <w:rPr/>
            </w:pPr>
            <w:r w:rsidDel="00000000" w:rsidR="00000000" w:rsidRPr="00000000">
              <w:rPr>
                <w:b w:val="1"/>
                <w:bCs w:val="1"/>
                <w:rtl w:val="0"/>
              </w:rPr>
              <w:t xml:space="preserve">Manager Numérique (Toi)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F">
            <w:pPr>
              <w:ind w:left="360" w:firstLine="0"/>
              <w:rPr/>
            </w:pPr>
            <w:r w:rsidDel="00000000" w:rsidR="00000000" w:rsidRPr="00000000">
              <w:rPr>
                <w:rtl w:val="0"/>
              </w:rPr>
              <w:t xml:space="preserve">Chef d'orchestre (CDO).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0">
            <w:pPr>
              <w:ind w:left="360" w:firstLine="0"/>
              <w:rPr/>
            </w:pPr>
            <w:r w:rsidDel="00000000" w:rsidR="00000000" w:rsidRPr="00000000">
              <w:rPr>
                <w:rtl w:val="0"/>
              </w:rPr>
              <w:t xml:space="preserve">Alignement entre la vision humaine et l'outil tech.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1">
            <w:pPr>
              <w:ind w:left="360" w:firstLine="0"/>
              <w:rPr/>
            </w:pPr>
            <w:r w:rsidDel="00000000" w:rsidR="00000000" w:rsidRPr="00000000">
              <w:rPr>
                <w:rtl w:val="0"/>
              </w:rPr>
              <w:t xml:space="preserve">Pilotage du déploiement et des boucles de feedback.</w:t>
            </w:r>
          </w:p>
        </w:tc>
      </w:tr>
    </w:tbl>
    <w:p w:rsidR="00000000" w:rsidDel="00000000" w:rsidP="00000000" w:rsidRDefault="00000000" w:rsidRPr="00000000" w14:paraId="00000032">
      <w:pPr>
        <w:ind w:left="36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7. Plan d'Action Immédiat pour les Managers Opérationnels</w:t>
      </w:r>
    </w:p>
    <w:p w:rsidR="00000000" w:rsidDel="00000000" w:rsidP="00000000" w:rsidRDefault="00000000" w:rsidRPr="00000000" w14:paraId="00000035">
      <w:pPr>
        <w:rPr/>
      </w:pPr>
      <w:r w:rsidDel="00000000" w:rsidR="00000000" w:rsidRPr="00000000">
        <w:rPr>
          <w:rtl w:val="0"/>
        </w:rPr>
        <w:t xml:space="preserve">Pour garantir une réactivité maximale et ancrer les routines de sécurité sans attendre le déploiement complet du dashboard industriel, les managers des 3 sites logistiques doivent appliquer immédiatement les actions suivantes :</w:t>
      </w:r>
    </w:p>
    <w:p w:rsidR="00000000" w:rsidDel="00000000" w:rsidP="00000000" w:rsidRDefault="00000000" w:rsidRPr="00000000" w14:paraId="00000036">
      <w:pPr>
        <w:ind w:left="360" w:firstLine="0"/>
        <w:rPr/>
      </w:pPr>
      <w:r w:rsidDel="00000000" w:rsidR="00000000" w:rsidRPr="00000000">
        <w:rPr>
          <w:b w:val="1"/>
          <w:bCs w:val="1"/>
          <w:rtl w:val="0"/>
        </w:rPr>
        <w:t xml:space="preserve">• 1. Activation Obligatoire de la MFA : </w:t>
      </w:r>
      <w:r w:rsidDel="00000000" w:rsidR="00000000" w:rsidRPr="00000000">
        <w:rPr>
          <w:rtl w:val="0"/>
        </w:rPr>
        <w:t xml:space="preserve">Vérifier que 100% des collaborateurs de chaque équipe ont activé la MFA sur leurs accès distants et messageries professionnelles sous 48h.</w:t>
      </w:r>
    </w:p>
    <w:p w:rsidR="00000000" w:rsidDel="00000000" w:rsidP="00000000" w:rsidRDefault="00000000" w:rsidRPr="00000000" w14:paraId="00000037">
      <w:pPr>
        <w:ind w:left="360" w:firstLine="0"/>
        <w:rPr/>
      </w:pPr>
      <w:r w:rsidDel="00000000" w:rsidR="00000000" w:rsidRPr="00000000">
        <w:rPr>
          <w:b w:val="1"/>
          <w:bCs w:val="1"/>
          <w:rtl w:val="0"/>
        </w:rPr>
        <w:t xml:space="preserve">• 2. Sanctuarisation des Fenêtres de Patch : </w:t>
      </w:r>
      <w:r w:rsidDel="00000000" w:rsidR="00000000" w:rsidRPr="00000000">
        <w:rPr>
          <w:rtl w:val="0"/>
        </w:rPr>
        <w:t xml:space="preserve">Allouer obligatoirement 2 heures par semaine aux administrateurs systèmes locaux pour traiter en priorité les vulnérabilités critiques identifiées.</w:t>
      </w:r>
    </w:p>
    <w:p w:rsidR="00000000" w:rsidDel="00000000" w:rsidP="00000000" w:rsidRDefault="00000000" w:rsidRPr="00000000" w14:paraId="00000038">
      <w:pPr>
        <w:ind w:left="360" w:firstLine="0"/>
        <w:rPr/>
      </w:pPr>
      <w:r w:rsidDel="00000000" w:rsidR="00000000" w:rsidRPr="00000000">
        <w:rPr>
          <w:b w:val="1"/>
          <w:bCs w:val="1"/>
          <w:rtl w:val="0"/>
        </w:rPr>
        <w:t xml:space="preserve">• 3. Exercice de Restauration à Blanc : </w:t>
      </w:r>
      <w:r w:rsidDel="00000000" w:rsidR="00000000" w:rsidRPr="00000000">
        <w:rPr>
          <w:rtl w:val="0"/>
        </w:rPr>
        <w:t xml:space="preserve">Planifier un test de restauration d'une sauvegarde critique par site dans les 15 prochains jours pour valider opérationnellement le protocole de reprise.</w:t>
      </w:r>
    </w:p>
    <w:p w:rsidR="00000000" w:rsidDel="00000000" w:rsidP="00000000" w:rsidRDefault="00000000" w:rsidRPr="00000000" w14:paraId="00000039">
      <w:pPr>
        <w:ind w:left="360" w:firstLine="0"/>
        <w:rPr/>
      </w:pPr>
      <w:r w:rsidDel="00000000" w:rsidR="00000000" w:rsidRPr="00000000">
        <w:rPr>
          <w:b w:val="1"/>
          <w:bCs w:val="1"/>
          <w:rtl w:val="0"/>
        </w:rPr>
        <w:t xml:space="preserve">• 4. Briefing Phishing Post-Simulation : </w:t>
      </w:r>
      <w:r w:rsidDel="00000000" w:rsidR="00000000" w:rsidRPr="00000000">
        <w:rPr>
          <w:rtl w:val="0"/>
        </w:rPr>
        <w:t xml:space="preserve">En cas de taux de clic supérieur à 10% dans un service, le manager doit organiser un micro-briefing de 10 minutes pour sensibiliser ses équipes aux signaux d'alerte.</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tabs>
        <w:tab w:val="left" w:leader="none" w:pos="2244"/>
        <w:tab w:val="center" w:leader="none" w:pos="4550"/>
        <w:tab w:val="left" w:leader="none" w:pos="5818"/>
        <w:tab w:val="right" w:leader="none" w:pos="9100"/>
      </w:tabs>
      <w:ind w:right="260"/>
      <w:jc w:val="center"/>
      <w:rPr>
        <w:color w:val="0f243e"/>
        <w:sz w:val="24"/>
        <w:szCs w:val="24"/>
      </w:rPr>
    </w:pPr>
    <w:r w:rsidDel="00000000" w:rsidR="00000000" w:rsidRPr="00000000">
      <w:rPr/>
      <w:drawing>
        <wp:inline distB="0" distT="0" distL="0" distR="0">
          <wp:extent cx="1114992" cy="1038623"/>
          <wp:effectExtent b="0" l="0" r="0" t="0"/>
          <wp:docPr id="3" name="image2.png"/>
          <a:graphic>
            <a:graphicData uri="http://schemas.openxmlformats.org/drawingml/2006/picture">
              <pic:pic>
                <pic:nvPicPr>
                  <pic:cNvPr id="0" name="image2.png"/>
                  <pic:cNvPicPr preferRelativeResize="0"/>
                </pic:nvPicPr>
                <pic:blipFill>
                  <a:blip r:embed="rId1"/>
                  <a:srcRect b="18943" l="31707" r="32405" t="19814"/>
                  <a:stretch>
                    <a:fillRect/>
                  </a:stretch>
                </pic:blipFill>
                <pic:spPr>
                  <a:xfrm>
                    <a:off x="0" y="0"/>
                    <a:ext cx="1114992" cy="1038623"/>
                  </a:xfrm>
                  <a:prstGeom prst="rect"/>
                  <a:ln/>
                </pic:spPr>
              </pic:pic>
            </a:graphicData>
          </a:graphic>
        </wp:inline>
      </w:drawing>
    </w:r>
    <w:r w:rsidDel="00000000" w:rsidR="00000000" w:rsidRPr="00000000">
      <w:rPr>
        <w:color w:val="548dd4"/>
        <w:sz w:val="24"/>
        <w:szCs w:val="24"/>
        <w:rtl w:val="0"/>
      </w:rPr>
      <w:tab/>
      <w:tab/>
    </w:r>
    <w:r w:rsidDel="00000000" w:rsidR="00000000" w:rsidRPr="00000000">
      <w:rPr>
        <w:color w:val="548dd4"/>
        <w:sz w:val="24"/>
        <w:szCs w:val="24"/>
      </w:rPr>
      <w:drawing>
        <wp:inline distB="0" distT="0" distL="0" distR="0">
          <wp:extent cx="1451623" cy="580649"/>
          <wp:effectExtent b="0" l="0" r="0" t="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451623" cy="580649"/>
                  </a:xfrm>
                  <a:prstGeom prst="rect"/>
                  <a:ln/>
                </pic:spPr>
              </pic:pic>
            </a:graphicData>
          </a:graphic>
        </wp:inline>
      </w:drawing>
    </w:r>
    <w:r w:rsidDel="00000000" w:rsidR="00000000" w:rsidRPr="00000000">
      <w:rPr>
        <w:color w:val="548dd4"/>
        <w:sz w:val="24"/>
        <w:szCs w:val="24"/>
        <w:rtl w:val="0"/>
      </w:rPr>
      <w:tab/>
      <w:tab/>
    </w:r>
    <w:r w:rsidDel="00000000" w:rsidR="00000000" w:rsidRPr="00000000">
      <w:rPr>
        <w:color w:val="17365d"/>
        <w:sz w:val="24"/>
        <w:szCs w:val="24"/>
      </w:rPr>
      <w:fldChar w:fldCharType="begin"/>
      <w:instrText xml:space="preserve">PAGE</w:instrText>
      <w:fldChar w:fldCharType="separate"/>
      <w:fldChar w:fldCharType="end"/>
    </w:r>
    <w:r w:rsidDel="00000000" w:rsidR="00000000" w:rsidRPr="00000000">
      <w:rPr>
        <w:color w:val="17365d"/>
        <w:sz w:val="24"/>
        <w:szCs w:val="24"/>
        <w:rtl w:val="0"/>
      </w:rPr>
      <w:t xml:space="preserve"> | </w:t>
    </w:r>
    <w:r w:rsidDel="00000000" w:rsidR="00000000" w:rsidRPr="00000000">
      <w:rPr>
        <w:color w:val="17365d"/>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Note de cadrage </w:t>
      <w:tab/>
      <w:tab/>
      <w:t xml:space="preserve"> Team FHMV</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gqwLx4Nsa5SChQFhU6Ho3erUKA==">CgMxLjA4AHIhMVhkLTNZY1RxSnppRXd4M2NnLXNWZ0V0em9uenZZZWRI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