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95701">
      <w:pPr>
        <w:jc w:val="center"/>
      </w:pPr>
      <w:r>
        <w:rPr>
          <w:rFonts w:ascii="Noto Sans CJK SC" w:hAnsi="Noto Sans CJK SC" w:eastAsia="Noto Sans CJK SC"/>
          <w:b/>
          <w:color w:val="1F4E79"/>
          <w:sz w:val="40"/>
        </w:rPr>
        <w:t>VAST MC1 可视化叙事逻辑增强版</w:t>
      </w:r>
    </w:p>
    <w:p w14:paraId="4828BCF5">
      <w:pPr>
        <w:jc w:val="center"/>
      </w:pPr>
      <w:r>
        <w:rPr>
          <w:rFonts w:ascii="Noto Sans CJK SC" w:hAnsi="Noto Sans CJK SC" w:eastAsia="Noto Sans CJK SC"/>
          <w:color w:val="262626"/>
          <w:sz w:val="21"/>
        </w:rPr>
        <w:t>叙事目标：从“多名高管失踪”的悬念出发，逐步解释 POK 为何被锁定，同时引入内部关系网络与高层异常线索。</w:t>
      </w:r>
    </w:p>
    <w:p w14:paraId="2121F767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一、调整后的总体叙事逻辑</w:t>
      </w:r>
    </w:p>
    <w:p w14:paraId="3CF48745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你原先的思路是正确的：先用“多名高管失踪”制造问题感，再从四方关系网络入手，解释为什么 POK 会进入嫌疑范围，随后用新闻和邮件数据对 POK 进行佐证。三张新图可以插入在“宏观四方关系分析”之后，作为叙事的进一步深化：从外部组织冲突，转向 GAStech 内部关系网络和可能的内应/高层异常。</w:t>
      </w:r>
    </w:p>
    <w:p w14:paraId="490BBC9E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因此，新的叙事不是简单地“POK 作案”，而是形成一个更有层次的推理链：POK 是外部最显眼的嫌疑对象；GAStech 内部邮件和人员关系揭示了可能的进入通道；高层与政府、媒体、文件转移之间的异常联系，则提示案件背后可能存在更复杂的利益规避或真相遮蔽。</w:t>
      </w:r>
    </w:p>
    <w:p w14:paraId="52F72FA3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二、建议采用的总问题链</w:t>
      </w:r>
    </w:p>
    <w:p w14:paraId="1094CE43">
      <w:r>
        <w:rPr>
          <w:rFonts w:ascii="Noto Sans CJK SC" w:hAnsi="Noto Sans CJK SC" w:eastAsia="Noto Sans CJK SC"/>
          <w:b/>
          <w:color w:val="C0504D"/>
          <w:sz w:val="21"/>
        </w:rPr>
        <w:t>开局问题：</w:t>
      </w:r>
      <w:r>
        <w:rPr>
          <w:rFonts w:ascii="Noto Sans CJK SC" w:hAnsi="Noto Sans CJK SC" w:eastAsia="Noto Sans CJK SC"/>
          <w:sz w:val="21"/>
        </w:rPr>
        <w:t>多名 GAStech 高管为何在 IPO 与政府接待背景下集体失踪？</w:t>
      </w:r>
    </w:p>
    <w:p w14:paraId="06A3B79D">
      <w:r>
        <w:rPr>
          <w:rFonts w:ascii="Noto Sans CJK SC" w:hAnsi="Noto Sans CJK SC" w:eastAsia="Noto Sans CJK SC"/>
          <w:b/>
          <w:color w:val="C0504D"/>
          <w:sz w:val="21"/>
        </w:rPr>
        <w:t>第一步：外部关系筛查：</w:t>
      </w:r>
      <w:r>
        <w:rPr>
          <w:rFonts w:ascii="Noto Sans CJK SC" w:hAnsi="Noto Sans CJK SC" w:eastAsia="Noto Sans CJK SC"/>
          <w:sz w:val="21"/>
        </w:rPr>
        <w:t>GAStech、Kronos 政府、POK、APA 四方之间到底是什么关系？谁与案件冲突最直接？</w:t>
      </w:r>
    </w:p>
    <w:p w14:paraId="4137C090">
      <w:r>
        <w:rPr>
          <w:rFonts w:ascii="Noto Sans CJK SC" w:hAnsi="Noto Sans CJK SC" w:eastAsia="Noto Sans CJK SC"/>
          <w:b/>
          <w:color w:val="C0504D"/>
          <w:sz w:val="21"/>
        </w:rPr>
        <w:t>第二步：锁定 POK：</w:t>
      </w:r>
      <w:r>
        <w:rPr>
          <w:rFonts w:ascii="Noto Sans CJK SC" w:hAnsi="Noto Sans CJK SC" w:eastAsia="Noto Sans CJK SC"/>
          <w:sz w:val="21"/>
        </w:rPr>
        <w:t>为什么 POK 会被媒体、政府和案件线索推到嫌疑中心？</w:t>
      </w:r>
    </w:p>
    <w:p w14:paraId="02AF456B">
      <w:r>
        <w:rPr>
          <w:rFonts w:ascii="Noto Sans CJK SC" w:hAnsi="Noto Sans CJK SC" w:eastAsia="Noto Sans CJK SC"/>
          <w:b/>
          <w:color w:val="C0504D"/>
          <w:sz w:val="21"/>
        </w:rPr>
        <w:t>第三步：证据交叉验证：</w:t>
      </w:r>
      <w:r>
        <w:rPr>
          <w:rFonts w:ascii="Noto Sans CJK SC" w:hAnsi="Noto Sans CJK SC" w:eastAsia="Noto Sans CJK SC"/>
          <w:sz w:val="21"/>
        </w:rPr>
        <w:t>新闻报道是否一致？邮件数据是否能说明绑架前存在异常安全环境？</w:t>
      </w:r>
    </w:p>
    <w:p w14:paraId="71818897">
      <w:r>
        <w:rPr>
          <w:rFonts w:ascii="Noto Sans CJK SC" w:hAnsi="Noto Sans CJK SC" w:eastAsia="Noto Sans CJK SC"/>
          <w:b/>
          <w:color w:val="C0504D"/>
          <w:sz w:val="21"/>
        </w:rPr>
        <w:t>第四步：进入复杂关系网络：</w:t>
      </w:r>
      <w:r>
        <w:rPr>
          <w:rFonts w:ascii="Noto Sans CJK SC" w:hAnsi="Noto Sans CJK SC" w:eastAsia="Noto Sans CJK SC"/>
          <w:sz w:val="21"/>
        </w:rPr>
        <w:t>如果 POK 是外部压力，那么谁能从 GAStech 内部打开门？</w:t>
      </w:r>
    </w:p>
    <w:p w14:paraId="475C507D">
      <w:r>
        <w:rPr>
          <w:rFonts w:ascii="Noto Sans CJK SC" w:hAnsi="Noto Sans CJK SC" w:eastAsia="Noto Sans CJK SC"/>
          <w:b/>
          <w:color w:val="C0504D"/>
          <w:sz w:val="21"/>
        </w:rPr>
        <w:t>第五步：追问高层异常：</w:t>
      </w:r>
      <w:r>
        <w:rPr>
          <w:rFonts w:ascii="Noto Sans CJK SC" w:hAnsi="Noto Sans CJK SC" w:eastAsia="Noto Sans CJK SC"/>
          <w:sz w:val="21"/>
        </w:rPr>
        <w:t>如果底层出现内应线索，高层是否也存在删除、脱身、转移信息等异常行为？</w:t>
      </w:r>
    </w:p>
    <w:p w14:paraId="79BCA9E6">
      <w:r>
        <w:rPr>
          <w:rFonts w:ascii="Noto Sans CJK SC" w:hAnsi="Noto Sans CJK SC" w:eastAsia="Noto Sans CJK SC"/>
          <w:b/>
          <w:color w:val="C0504D"/>
          <w:sz w:val="21"/>
        </w:rPr>
        <w:t>最终判断：</w:t>
      </w:r>
      <w:r>
        <w:rPr>
          <w:rFonts w:ascii="Noto Sans CJK SC" w:hAnsi="Noto Sans CJK SC" w:eastAsia="Noto Sans CJK SC"/>
          <w:sz w:val="21"/>
        </w:rPr>
        <w:t>本案更像“外部冲突 + 内部通道 + 高层异常”交织的复杂事件，而不是单一组织独立完成的简单绑架。</w:t>
      </w:r>
    </w:p>
    <w:p w14:paraId="03332299">
      <w:pPr>
        <w:pStyle w:val="3"/>
      </w:pPr>
      <w:r>
        <w:rPr>
          <w:rFonts w:ascii="Noto Sans CJK SC" w:hAnsi="Noto Sans CJK SC" w:eastAsia="Noto Sans CJK SC"/>
          <w:b/>
          <w:color w:val="1F4E79"/>
          <w:sz w:val="32"/>
        </w:rPr>
        <w:t>四、新版可视化叙事结构</w:t>
      </w:r>
    </w:p>
    <w:p w14:paraId="059DACFE">
      <w:pPr>
        <w:pStyle w:val="4"/>
      </w:pPr>
      <w:r>
        <w:rPr>
          <w:rFonts w:ascii="Noto Sans CJK SC" w:hAnsi="Noto Sans CJK SC" w:eastAsia="Noto Sans CJK SC"/>
          <w:b/>
          <w:color w:val="1F4E79"/>
          <w:sz w:val="27"/>
        </w:rPr>
        <w:t>第 1 章：案件开局——多名高管失踪</w:t>
      </w:r>
    </w:p>
    <w:p w14:paraId="4C6788F3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先不罗列数据，而是直接提出案件悬念：GAStech 多名高管在 IPO 与政府接待背景下失踪。这里的核心问题是：这到底是普通绑架，还是长期冲突、利益暴露和内部漏洞共同作用的结果？</w:t>
      </w:r>
    </w:p>
    <w:p w14:paraId="4DC435C4">
      <w:pPr>
        <w:pStyle w:val="4"/>
      </w:pPr>
      <w:r>
        <w:rPr>
          <w:rFonts w:ascii="Noto Sans CJK SC" w:hAnsi="Noto Sans CJK SC" w:eastAsia="Noto Sans CJK SC"/>
          <w:b/>
          <w:color w:val="1F4E79"/>
          <w:sz w:val="27"/>
        </w:rPr>
        <w:t>第 2 章：四方关系——从宏观关系筛查嫌疑范围</w:t>
      </w:r>
    </w:p>
    <w:p w14:paraId="4196B503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用四方关系图展示 GAStech、Kronos 政府、POK、APA。GAStech 与政府长期合作；GAStech 与 POK 因环境污染长期对立；POK 与政府因抗议和执法冲突对立；APA 是区域安全风险，但不能与 POK 混同。这一章的结论是：POK 与案件核心矛盾连接最直接。</w:t>
      </w:r>
    </w:p>
    <w:p w14:paraId="111CC4B9">
      <w:pPr>
        <w:pStyle w:val="4"/>
      </w:pPr>
      <w:r>
        <w:rPr>
          <w:rFonts w:ascii="Noto Sans CJK SC" w:hAnsi="Noto Sans CJK SC" w:eastAsia="Noto Sans CJK SC"/>
          <w:b/>
          <w:color w:val="1F4E79"/>
          <w:sz w:val="27"/>
        </w:rPr>
        <w:t>第 3 章：锁定 POK——历史冲突、媒体指认与短期触发</w:t>
      </w:r>
    </w:p>
    <w:p w14:paraId="4B8C3722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通过时间线说明 POK 并非突然出现，而是长期环境冲突和政治对抗的产物。新闻报道让 POK 迅速进入公众嫌疑视野，但不同媒体对 POK 的描述存在偏见差异；邮件数据则说明绑架前 IPO、VIP visit、安全程序和巡逻安排密集出现，构成短期高风险环境。</w:t>
      </w:r>
    </w:p>
    <w:p w14:paraId="42DA03F4">
      <w:pPr>
        <w:pStyle w:val="4"/>
      </w:pPr>
      <w:r>
        <w:rPr>
          <w:rFonts w:ascii="Noto Sans CJK SC" w:hAnsi="Noto Sans CJK SC" w:eastAsia="Noto Sans CJK SC"/>
          <w:b/>
          <w:color w:val="1F4E79"/>
          <w:sz w:val="27"/>
        </w:rPr>
        <w:t>第 4 章：复杂的关系网络——从外部嫌疑转向内部通道</w:t>
      </w:r>
    </w:p>
    <w:p w14:paraId="2B18B818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插入第一张图作为章节转场。讲述重点从“谁有外部动机”转向“谁能真正接触现场、绕开安保、提供内部通道”。这一章把邮件网络、员工层级、安保人员和潜在个人关系线索放在一起分析。</w:t>
      </w:r>
    </w:p>
    <w:p w14:paraId="7264D034">
      <w:pPr>
        <w:pStyle w:val="4"/>
      </w:pPr>
      <w:r>
        <w:rPr>
          <w:rFonts w:ascii="Noto Sans CJK SC" w:hAnsi="Noto Sans CJK SC" w:eastAsia="Noto Sans CJK SC"/>
          <w:b/>
          <w:color w:val="1F4E79"/>
          <w:sz w:val="27"/>
        </w:rPr>
        <w:t>第 4.1 节：木马与暗网——内部安保层的可疑通道</w:t>
      </w:r>
    </w:p>
    <w:p w14:paraId="0CBC8985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插入第二张图。这里的核心表述是：在 GAStech 金字塔式组织架构下，真正接近现场和安保流程的并不一定是高层，而可能是底层安保和运营人员。Vann 兄弟、Bodrogi、POK 的连线可以被设计为“潜在内应链”或“需要验证的暗线”。</w:t>
      </w:r>
    </w:p>
    <w:p w14:paraId="031F7A5A">
      <w:pPr>
        <w:pStyle w:val="4"/>
      </w:pPr>
      <w:r>
        <w:rPr>
          <w:rFonts w:ascii="Noto Sans CJK SC" w:hAnsi="Noto Sans CJK SC" w:eastAsia="Noto Sans CJK SC"/>
          <w:b/>
          <w:color w:val="1F4E79"/>
          <w:sz w:val="27"/>
        </w:rPr>
        <w:t>第 4.2 节：金蝉脱壳与消失的真相——高层异常线索</w:t>
      </w:r>
    </w:p>
    <w:p w14:paraId="376309D6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插入第三张图。前一节解释“如何从内部打开门”，这一节进一步追问“谁在隐藏什么”。政府与媒体删除抗议照片、CEO 加密邮件、与卡车司机联系转移 files、以及逃离线索，都可以作为高层异常行为的可视化节点。</w:t>
      </w:r>
    </w:p>
    <w:p w14:paraId="51D04C9C">
      <w:pPr>
        <w:pStyle w:val="4"/>
      </w:pPr>
      <w:r>
        <w:rPr>
          <w:rFonts w:ascii="Noto Sans CJK SC" w:hAnsi="Noto Sans CJK SC" w:eastAsia="Noto Sans CJK SC"/>
          <w:b/>
          <w:color w:val="1F4E79"/>
          <w:sz w:val="27"/>
        </w:rPr>
        <w:t>第 5 章：综合判断——不是单一凶手，而是复杂网络</w:t>
      </w:r>
    </w:p>
    <w:p w14:paraId="665606FE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最终结论不建议写成“POK 单独完成绑架”。更稳妥的表述是：POK 是最直接、最公开的嫌疑方向，但案件还呈现出内部通道和高层异常的迹象。因此，本案应被理解为外部冲突、内部接应、信息遮蔽和利益规避共同交织的复杂事件。</w:t>
      </w:r>
    </w:p>
    <w:p w14:paraId="09693668">
      <w:pPr>
        <w:pStyle w:val="3"/>
      </w:pPr>
      <w:r>
        <w:rPr>
          <w:rFonts w:hint="eastAsia" w:ascii="Noto Sans CJK SC" w:hAnsi="Noto Sans CJK SC" w:eastAsia="宋体"/>
          <w:b/>
          <w:color w:val="1F4E79"/>
          <w:sz w:val="32"/>
          <w:lang w:val="en-US" w:eastAsia="zh-CN"/>
        </w:rPr>
        <w:t>五</w:t>
      </w:r>
      <w:r>
        <w:rPr>
          <w:rFonts w:ascii="Noto Sans CJK SC" w:hAnsi="Noto Sans CJK SC" w:eastAsia="Noto Sans CJK SC"/>
          <w:b/>
          <w:color w:val="1F4E79"/>
          <w:sz w:val="32"/>
        </w:rPr>
        <w:t>、整合后的完整讲述版本</w:t>
      </w:r>
    </w:p>
    <w:p w14:paraId="54B52E0B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2014 年 1 月 20 日，GAStech 多名高管突然失踪。这个事件发生在 IPO 财富集中释放和政府高规格接待的背景之下，因此它不是一个普通的失踪案，而更像一个长期矛盾在关键时刻的爆发。</w:t>
      </w:r>
    </w:p>
    <w:p w14:paraId="100D4F05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首先，我们从四方关系入手。GAStech 与 Kronos 政府长期合作，形成了稳定的商业和政治利益关系；POK 则长期围绕环境污染问题与 GAStech 对立，同时又因抗议和执法冲突与政府对立；APA 虽然是区域安全风险，但与 POK 不是同一组织，也不是本案的直接认领者。由此可以看出，POK 与案件核心矛盾的连接最直接。</w:t>
      </w:r>
    </w:p>
    <w:p w14:paraId="6B30E3B9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接着，我们用时间线解释 POK 为什么不是突然出现的嫌疑人。从 Elodis 环境争议、Juliana Vann 受害叙事，到 POK 抗议、Elian Karel 死亡、政府将 POK 定性为 criminals/gangsters，再到 IPO 后高管财富暴露，这些事件共同构成了 POK 被推向嫌疑中心的历史背景。</w:t>
      </w:r>
    </w:p>
    <w:p w14:paraId="4E8F2CDF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但是，新闻数据提醒我们：媒体报道本身并不是完全中性的。不同媒体对 POK 的称呼可能从 protestors、activists 到 criminals、terrorist group 不等，Primary 与 Derivative 报道之间也存在翻译错误和立场偏移。因此，新闻可以说明“POK 如何被指向”，但不能单独证明“POK 一定就是唯一主使”。</w:t>
      </w:r>
      <w:bookmarkStart w:id="0" w:name="_GoBack"/>
      <w:bookmarkEnd w:id="0"/>
    </w:p>
    <w:p w14:paraId="00C00AC1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进一步看邮件数据，绑架前 GAStech 内部围绕 IPO、VIP visit、安全程序、设施准备和巡逻安排存在密集沟通。这说明案件爆发前，公司内部已经处在高度敏感的安全环境中。也正是在这里，叙事从外部嫌疑转向内部关系：如果 POK 有动机，那么谁能帮助它绕过安保？</w:t>
      </w:r>
    </w:p>
    <w:p w14:paraId="2696FE44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复杂关系网络图给出了新的追问方向。GAStech 是一个金字塔式组织，但真正接近现场和安保流程的，往往是底层安保和运营人员。Vann 兄弟、Bodrogi、POK 等节点之间的可疑连线，提示我们不能只看组织高层，还要追查是否存在内部通道、同姓关系和复仇叙事交织形成的暗线。</w:t>
      </w:r>
    </w:p>
    <w:p w14:paraId="28F21962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最后，高层异常线索使案件进一步复杂化。如果底层暗线解释的是“如何进入”，那么高层异常解释的则可能是“谁在遮蔽事实”。政府与媒体删除抗议照片、CEO 加密邮件、文件转移和逃离线索，都提示我们：案件背后可能不仅是 POK 的公开行动，还可能存在信息遮蔽、利益规避和高层脱身。</w:t>
      </w:r>
    </w:p>
    <w:p w14:paraId="06CD0A6A">
      <w:pPr>
        <w:spacing w:after="100" w:line="300" w:lineRule="auto"/>
      </w:pPr>
      <w:r>
        <w:rPr>
          <w:rFonts w:ascii="Noto Sans CJK SC" w:hAnsi="Noto Sans CJK SC" w:eastAsia="Noto Sans CJK SC"/>
          <w:sz w:val="21"/>
        </w:rPr>
        <w:t>因此，最终结论应当是：POK 是最直接、最公开、最需要重点分析的嫌疑对象，但本案不能被简化为“POK 单独完成绑架”。更合理的可视化叙事是：长期环境冲突塑造了外部动机，内部安保网络提供了可能通道，高层异常行为则构成了进一步调查的方向。</w:t>
      </w:r>
    </w:p>
    <w:p w14:paraId="1B8AF1BE">
      <w:pPr>
        <w:pStyle w:val="3"/>
      </w:pPr>
      <w:r>
        <w:rPr>
          <w:rFonts w:hint="eastAsia" w:ascii="Noto Sans CJK SC" w:hAnsi="Noto Sans CJK SC" w:eastAsia="宋体"/>
          <w:b/>
          <w:color w:val="1F4E79"/>
          <w:sz w:val="32"/>
          <w:lang w:val="en-US" w:eastAsia="zh-CN"/>
        </w:rPr>
        <w:t>六</w:t>
      </w:r>
      <w:r>
        <w:rPr>
          <w:rFonts w:ascii="Noto Sans CJK SC" w:hAnsi="Noto Sans CJK SC" w:eastAsia="Noto Sans CJK SC"/>
          <w:b/>
          <w:color w:val="1F4E79"/>
          <w:sz w:val="32"/>
        </w:rPr>
        <w:t>、图表顺序建议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4"/>
        <w:gridCol w:w="2464"/>
        <w:gridCol w:w="2464"/>
        <w:gridCol w:w="2464"/>
      </w:tblGrid>
      <w:tr w14:paraId="05F7D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shd w:val="clear" w:color="auto" w:fill="1F4E79"/>
            <w:vAlign w:val="center"/>
          </w:tcPr>
          <w:p w14:paraId="68C09871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序号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2F0E244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图表/页面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03D301B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核心作用</w:t>
            </w:r>
          </w:p>
        </w:tc>
        <w:tc>
          <w:tcPr>
            <w:tcW w:w="2464" w:type="dxa"/>
            <w:shd w:val="clear" w:color="auto" w:fill="1F4E79"/>
            <w:vAlign w:val="center"/>
          </w:tcPr>
          <w:p w14:paraId="1428709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推荐标题</w:t>
            </w:r>
          </w:p>
        </w:tc>
      </w:tr>
      <w:tr w14:paraId="3E33C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0479D67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w="2464" w:type="dxa"/>
            <w:vAlign w:val="center"/>
          </w:tcPr>
          <w:p w14:paraId="5F38C7D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案件开场卡</w:t>
            </w:r>
          </w:p>
        </w:tc>
        <w:tc>
          <w:tcPr>
            <w:tcW w:w="2464" w:type="dxa"/>
            <w:vAlign w:val="center"/>
          </w:tcPr>
          <w:p w14:paraId="2C4264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用高管失踪制造悬念</w:t>
            </w:r>
          </w:p>
        </w:tc>
        <w:tc>
          <w:tcPr>
            <w:tcW w:w="2464" w:type="dxa"/>
            <w:vAlign w:val="center"/>
          </w:tcPr>
          <w:p w14:paraId="4EBE74F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谁带走了 GAStech 高管？</w:t>
            </w:r>
          </w:p>
        </w:tc>
      </w:tr>
      <w:tr w14:paraId="366317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A5C75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w="2464" w:type="dxa"/>
            <w:vAlign w:val="center"/>
          </w:tcPr>
          <w:p w14:paraId="0ECF56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四方关系网络图</w:t>
            </w:r>
          </w:p>
        </w:tc>
        <w:tc>
          <w:tcPr>
            <w:tcW w:w="2464" w:type="dxa"/>
            <w:vAlign w:val="center"/>
          </w:tcPr>
          <w:p w14:paraId="3AE482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解释外部冲突格局</w:t>
            </w:r>
          </w:p>
        </w:tc>
        <w:tc>
          <w:tcPr>
            <w:tcW w:w="2464" w:type="dxa"/>
            <w:vAlign w:val="center"/>
          </w:tcPr>
          <w:p w14:paraId="500A719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从四方关系锁定重点嫌疑对象</w:t>
            </w:r>
          </w:p>
        </w:tc>
      </w:tr>
      <w:tr w14:paraId="0AA53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3AF076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w="2464" w:type="dxa"/>
            <w:vAlign w:val="center"/>
          </w:tcPr>
          <w:p w14:paraId="5D6B37F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POK 历史时间线</w:t>
            </w:r>
          </w:p>
        </w:tc>
        <w:tc>
          <w:tcPr>
            <w:tcW w:w="2464" w:type="dxa"/>
            <w:vAlign w:val="center"/>
          </w:tcPr>
          <w:p w14:paraId="74687D0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解释 POK 的动机与长期对抗</w:t>
            </w:r>
          </w:p>
        </w:tc>
        <w:tc>
          <w:tcPr>
            <w:tcW w:w="2464" w:type="dxa"/>
            <w:vAlign w:val="center"/>
          </w:tcPr>
          <w:p w14:paraId="46EED7C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长期冲突如何走向绑架</w:t>
            </w:r>
          </w:p>
        </w:tc>
      </w:tr>
      <w:tr w14:paraId="2BB23C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1E912C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w="2464" w:type="dxa"/>
            <w:vAlign w:val="center"/>
          </w:tcPr>
          <w:p w14:paraId="62EA64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媒体立场/偏见图</w:t>
            </w:r>
          </w:p>
        </w:tc>
        <w:tc>
          <w:tcPr>
            <w:tcW w:w="2464" w:type="dxa"/>
            <w:vAlign w:val="center"/>
          </w:tcPr>
          <w:p w14:paraId="5A85C7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说明 POK 被指向的舆论机制</w:t>
            </w:r>
          </w:p>
        </w:tc>
        <w:tc>
          <w:tcPr>
            <w:tcW w:w="2464" w:type="dxa"/>
            <w:vAlign w:val="center"/>
          </w:tcPr>
          <w:p w14:paraId="575D21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新闻是在证明，还是在塑造嫌疑？</w:t>
            </w:r>
          </w:p>
        </w:tc>
      </w:tr>
      <w:tr w14:paraId="67372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52E019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w="2464" w:type="dxa"/>
            <w:vAlign w:val="center"/>
          </w:tcPr>
          <w:p w14:paraId="3201572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邮件主题时间图</w:t>
            </w:r>
          </w:p>
        </w:tc>
        <w:tc>
          <w:tcPr>
            <w:tcW w:w="2464" w:type="dxa"/>
            <w:vAlign w:val="center"/>
          </w:tcPr>
          <w:p w14:paraId="174F9E6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说明绑架前内部安全敏感度上升</w:t>
            </w:r>
          </w:p>
        </w:tc>
        <w:tc>
          <w:tcPr>
            <w:tcW w:w="2464" w:type="dxa"/>
            <w:vAlign w:val="center"/>
          </w:tcPr>
          <w:p w14:paraId="3E1A0B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IPO、VIP 与安保邮件的集中出现</w:t>
            </w:r>
          </w:p>
        </w:tc>
      </w:tr>
      <w:tr w14:paraId="19FF53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744D18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w="2464" w:type="dxa"/>
            <w:vAlign w:val="center"/>
          </w:tcPr>
          <w:p w14:paraId="69B9DC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复杂关系网络转场图</w:t>
            </w:r>
          </w:p>
        </w:tc>
        <w:tc>
          <w:tcPr>
            <w:tcW w:w="2464" w:type="dxa"/>
            <w:vAlign w:val="center"/>
          </w:tcPr>
          <w:p w14:paraId="079534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从外部关系转向内部网络</w:t>
            </w:r>
          </w:p>
        </w:tc>
        <w:tc>
          <w:tcPr>
            <w:tcW w:w="2464" w:type="dxa"/>
            <w:vAlign w:val="center"/>
          </w:tcPr>
          <w:p w14:paraId="07DD0C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复杂的关系网络</w:t>
            </w:r>
          </w:p>
        </w:tc>
      </w:tr>
      <w:tr w14:paraId="306BD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4CF52A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w="2464" w:type="dxa"/>
            <w:vAlign w:val="center"/>
          </w:tcPr>
          <w:p w14:paraId="13C799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木马与暗网图</w:t>
            </w:r>
          </w:p>
        </w:tc>
        <w:tc>
          <w:tcPr>
            <w:tcW w:w="2464" w:type="dxa"/>
            <w:vAlign w:val="center"/>
          </w:tcPr>
          <w:p w14:paraId="34C318D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提出内部通道和潜在内应线索</w:t>
            </w:r>
          </w:p>
        </w:tc>
        <w:tc>
          <w:tcPr>
            <w:tcW w:w="2464" w:type="dxa"/>
            <w:vAlign w:val="center"/>
          </w:tcPr>
          <w:p w14:paraId="593261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谁能从内部打开门？</w:t>
            </w:r>
          </w:p>
        </w:tc>
      </w:tr>
      <w:tr w14:paraId="4852C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2D88A58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w="2464" w:type="dxa"/>
            <w:vAlign w:val="center"/>
          </w:tcPr>
          <w:p w14:paraId="19ABF7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金蝉脱壳图</w:t>
            </w:r>
          </w:p>
        </w:tc>
        <w:tc>
          <w:tcPr>
            <w:tcW w:w="2464" w:type="dxa"/>
            <w:vAlign w:val="center"/>
          </w:tcPr>
          <w:p w14:paraId="69CB24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提出高层异常、删除、逃离与文件转移线索</w:t>
            </w:r>
          </w:p>
        </w:tc>
        <w:tc>
          <w:tcPr>
            <w:tcW w:w="2464" w:type="dxa"/>
            <w:vAlign w:val="center"/>
          </w:tcPr>
          <w:p w14:paraId="5B42BF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谁在消失，谁在删除真相？</w:t>
            </w:r>
          </w:p>
        </w:tc>
      </w:tr>
      <w:tr w14:paraId="3557C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4" w:type="dxa"/>
            <w:vAlign w:val="center"/>
          </w:tcPr>
          <w:p w14:paraId="644D06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w="2464" w:type="dxa"/>
            <w:vAlign w:val="center"/>
          </w:tcPr>
          <w:p w14:paraId="4576B0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综合证据链图</w:t>
            </w:r>
          </w:p>
        </w:tc>
        <w:tc>
          <w:tcPr>
            <w:tcW w:w="2464" w:type="dxa"/>
            <w:vAlign w:val="center"/>
          </w:tcPr>
          <w:p w14:paraId="46A8E1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形成最终判断</w:t>
            </w:r>
          </w:p>
        </w:tc>
        <w:tc>
          <w:tcPr>
            <w:tcW w:w="2464" w:type="dxa"/>
            <w:vAlign w:val="center"/>
          </w:tcPr>
          <w:p w14:paraId="4D63A3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 w:val="0"/>
                <w:sz w:val="18"/>
              </w:rPr>
              <w:t>外部冲突、内部通道与高层异常</w:t>
            </w:r>
          </w:p>
        </w:tc>
      </w:tr>
    </w:tbl>
    <w:p w14:paraId="2DED79E0">
      <w:pPr>
        <w:pStyle w:val="3"/>
      </w:pPr>
      <w:r>
        <w:rPr>
          <w:rFonts w:hint="eastAsia" w:ascii="Noto Sans CJK SC" w:hAnsi="Noto Sans CJK SC" w:eastAsia="宋体"/>
          <w:b/>
          <w:color w:val="1F4E79"/>
          <w:sz w:val="32"/>
          <w:lang w:val="en-US" w:eastAsia="zh-CN"/>
        </w:rPr>
        <w:t>七</w:t>
      </w:r>
      <w:r>
        <w:rPr>
          <w:rFonts w:ascii="Noto Sans CJK SC" w:hAnsi="Noto Sans CJK SC" w:eastAsia="Noto Sans CJK SC"/>
          <w:b/>
          <w:color w:val="1F4E79"/>
          <w:sz w:val="32"/>
        </w:rPr>
        <w:t>、需要避免的表述风险</w:t>
      </w:r>
    </w:p>
    <w:p w14:paraId="1C75732D">
      <w:pPr>
        <w:pStyle w:val="16"/>
      </w:pPr>
      <w:r>
        <w:rPr>
          <w:rFonts w:ascii="Noto Sans CJK SC" w:hAnsi="Noto Sans CJK SC" w:eastAsia="Noto Sans CJK SC"/>
          <w:sz w:val="21"/>
        </w:rPr>
        <w:t>不要把“新闻报道说 POK 负责”直接写成“POK 已被证明负责”。新闻报道存在立场差异和转述偏差。</w:t>
      </w:r>
    </w:p>
    <w:p w14:paraId="467CE4B3">
      <w:pPr>
        <w:pStyle w:val="16"/>
      </w:pPr>
      <w:r>
        <w:rPr>
          <w:rFonts w:ascii="Noto Sans CJK SC" w:hAnsi="Noto Sans CJK SC" w:eastAsia="Noto Sans CJK SC"/>
          <w:sz w:val="21"/>
        </w:rPr>
        <w:t>不要把“同姓、通信、安保职位”直接写成“内鬼已确认”。应表述为“潜在线索”“可疑连接”“需要进一步验证”。</w:t>
      </w:r>
    </w:p>
    <w:p w14:paraId="5CEB5EE6">
      <w:pPr>
        <w:pStyle w:val="16"/>
      </w:pPr>
      <w:r>
        <w:rPr>
          <w:rFonts w:ascii="Noto Sans CJK SC" w:hAnsi="Noto Sans CJK SC" w:eastAsia="Noto Sans CJK SC"/>
          <w:sz w:val="21"/>
        </w:rPr>
        <w:t>不要把“CEO 逃跑/文件转移”写成完全定论，除非你的可视化中有明确邮件编号、航班记录或文件传输证据支撑。</w:t>
      </w:r>
    </w:p>
    <w:p w14:paraId="04D4387E">
      <w:pPr>
        <w:pStyle w:val="16"/>
      </w:pPr>
      <w:r>
        <w:rPr>
          <w:rFonts w:ascii="Noto Sans CJK SC" w:hAnsi="Noto Sans CJK SC" w:eastAsia="Noto Sans CJK SC"/>
          <w:sz w:val="21"/>
        </w:rPr>
        <w:t>APA 与 POK 必须分开。APA 是 Asterian People’s Army，是区域安全风险；POK 是 Protectors of Kronos，是本案主要被指向组织。</w:t>
      </w:r>
    </w:p>
    <w:p w14:paraId="39E5D9F9">
      <w:pPr>
        <w:pStyle w:val="16"/>
      </w:pPr>
      <w:r>
        <w:rPr>
          <w:rFonts w:ascii="Noto Sans CJK SC" w:hAnsi="Noto Sans CJK SC" w:eastAsia="Noto Sans CJK SC"/>
          <w:sz w:val="21"/>
        </w:rPr>
        <w:t>邮件数据主要证明“绑架前内部沟通和安全敏感度”，不能自动推出“邮件证明 POK 参与”。</w:t>
      </w:r>
    </w:p>
    <w:p w14:paraId="22EED367">
      <w:pPr>
        <w:spacing w:after="100" w:line="300" w:lineRule="auto"/>
      </w:pPr>
    </w:p>
    <w:sectPr>
      <w:footerReference r:id="rId5" w:type="default"/>
      <w:pgSz w:w="12240" w:h="15840"/>
      <w:pgMar w:top="1134" w:right="1191" w:bottom="1134" w:left="11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4D1066">
    <w:pPr>
      <w:pStyle w:val="24"/>
    </w:pPr>
    <w:r>
      <w:rPr>
        <w:rFonts w:ascii="Noto Sans CJK SC" w:hAnsi="Noto Sans CJK SC" w:eastAsia="Noto Sans CJK SC"/>
        <w:color w:val="595959"/>
        <w:sz w:val="16"/>
      </w:rPr>
      <w:t>MC1 可视化叙事逻辑增强版 | 供汇报结构与图表设计参考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332E81"/>
    <w:rsid w:val="7C52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ascii="Noto Sans CJK SC" w:hAnsi="Noto Sans CJK SC" w:eastAsia="Noto Sans CJK SC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2328</Words>
  <Characters>2687</Characters>
  <Lines>0</Lines>
  <Paragraphs>0</Paragraphs>
  <TotalTime>12</TotalTime>
  <ScaleCrop>false</ScaleCrop>
  <LinksUpToDate>false</LinksUpToDate>
  <CharactersWithSpaces>2825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吴文鸿</cp:lastModifiedBy>
  <dcterms:modified xsi:type="dcterms:W3CDTF">2026-06-08T05:25:28Z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eyJoZGlkIjoiZmY1OWZiNmJiNWQ4NDZlZjgxY2JiOWYwMTQyYWUwZjkiLCJ1c2VySWQiOiI4OTkwNzAyNzEifQ==</vt:lpwstr>
  </property>
  <property fmtid="{D5CDD505-2E9C-101B-9397-08002B2CF9AE}" pid="3" name="KSOProductBuildVer">
    <vt:lpwstr>2052-12.1.0.26375</vt:lpwstr>
  </property>
  <property fmtid="{D5CDD505-2E9C-101B-9397-08002B2CF9AE}" pid="4" name="ICV">
    <vt:lpwstr>35317F45CD094D3080891D7227013B93_13</vt:lpwstr>
  </property>
</Properties>
</file>