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MirrorCanon™ — Canon One-Page Template</w:t>
      </w:r>
    </w:p>
    <w:p>
      <w:pPr>
        <w:jc w:val="left"/>
      </w:pPr>
      <w:r>
        <w:rPr>
          <w:sz w:val="20"/>
        </w:rPr>
        <w:t>Lane: Scholar / Canon · Reading Grade: 13–16</w:t>
      </w:r>
    </w:p>
    <w:p/>
    <w:p>
      <w:pPr>
        <w:spacing w:after="240"/>
      </w:pPr>
      <w:r>
        <w:rPr>
          <w:sz w:val="26"/>
        </w:rPr>
        <w:t>Body text begins here. Replace this paragraph with Canon-compliant content.</w:t>
        <w:br/>
        <w:br/>
      </w:r>
    </w:p>
    <w:p>
      <w:r>
        <w:rPr>
          <w:sz w:val="18"/>
        </w:rPr>
        <w:t>Source-of-truth: Markdown · Layout authority: This file · Distribution: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