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MirrorCanon™ — MirrorTone™ One-Page Template</w:t>
      </w:r>
    </w:p>
    <w:p>
      <w:pPr>
        <w:jc w:val="left"/>
      </w:pPr>
      <w:r>
        <w:rPr>
          <w:sz w:val="20"/>
        </w:rPr>
        <w:t>Lane: Public / Access · Reading Grade: 8–10</w:t>
      </w:r>
    </w:p>
    <w:p/>
    <w:p>
      <w:pPr>
        <w:spacing w:after="240"/>
      </w:pPr>
      <w:r>
        <w:rPr>
          <w:sz w:val="26"/>
        </w:rPr>
        <w:t>Body text begins here. Replace this paragraph with Canon-compliant content.</w:t>
        <w:br/>
        <w:br/>
      </w:r>
    </w:p>
    <w:p>
      <w:r>
        <w:rPr>
          <w:sz w:val="18"/>
        </w:rPr>
        <w:t>Source-of-truth: Markdown · Layout authority: This file · Distribution: 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