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2"/>
        </w:rPr>
        <w:t>MirrorCanon™ — Visual Symbol Library Template</w:t>
      </w:r>
    </w:p>
    <w:p>
      <w:pPr>
        <w:jc w:val="left"/>
      </w:pPr>
      <w:r>
        <w:rPr>
          <w:sz w:val="20"/>
        </w:rPr>
        <w:t>Lane: Institutional / Framework · Reading Grade: Professional</w:t>
      </w:r>
    </w:p>
    <w:p/>
    <w:p>
      <w:pPr>
        <w:spacing w:after="240"/>
      </w:pPr>
      <w:r>
        <w:rPr>
          <w:sz w:val="26"/>
        </w:rPr>
        <w:t>Body text begins here. Replace this paragraph with Canon-compliant content.</w:t>
        <w:br/>
        <w:br/>
      </w:r>
    </w:p>
    <w:p>
      <w:r>
        <w:rPr>
          <w:sz w:val="18"/>
        </w:rPr>
        <w:t>Source-of-truth: Markdown · Layout authority: This file · Distribution: PDF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