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AB97" w14:textId="77777777" w:rsidR="00060932" w:rsidRPr="00792E04" w:rsidRDefault="00060932" w:rsidP="00792E04">
      <w:pPr>
        <w:jc w:val="center"/>
        <w:rPr>
          <w:b/>
          <w:bCs/>
          <w:sz w:val="40"/>
          <w:szCs w:val="48"/>
        </w:rPr>
      </w:pPr>
      <w:r w:rsidRPr="00792E04">
        <w:rPr>
          <w:b/>
          <w:bCs/>
          <w:sz w:val="40"/>
          <w:szCs w:val="48"/>
        </w:rPr>
        <w:t>闽江御盾：AI AGENT驱动的动态攻防推演靶场</w:t>
      </w:r>
    </w:p>
    <w:p w14:paraId="2455EEA0" w14:textId="2184B06C" w:rsidR="00060932" w:rsidRPr="00060932" w:rsidRDefault="00060932" w:rsidP="00060932">
      <w:pPr>
        <w:widowControl/>
        <w:pBdr>
          <w:bottom w:val="single" w:sz="12" w:space="8" w:color="3498DB"/>
        </w:pBdr>
        <w:spacing w:before="360" w:after="100" w:afterAutospacing="1"/>
        <w:jc w:val="center"/>
        <w:outlineLvl w:val="0"/>
        <w:rPr>
          <w:rFonts w:ascii="宋体" w:eastAsia="宋体" w:hAnsi="宋体" w:cs="宋体" w:hint="eastAsia"/>
          <w:b/>
          <w:bCs/>
          <w:color w:val="2C3E50"/>
          <w:kern w:val="36"/>
          <w:sz w:val="40"/>
          <w:szCs w:val="40"/>
        </w:rPr>
      </w:pPr>
      <w:r w:rsidRPr="00060932">
        <w:rPr>
          <w:rFonts w:ascii="宋体" w:eastAsia="宋体" w:hAnsi="宋体" w:cs="宋体"/>
          <w:b/>
          <w:bCs/>
          <w:color w:val="2C3E50"/>
          <w:kern w:val="36"/>
          <w:sz w:val="40"/>
          <w:szCs w:val="40"/>
        </w:rPr>
        <w:t>部署手册</w:t>
      </w:r>
    </w:p>
    <w:p w14:paraId="258BD5BD" w14:textId="77777777" w:rsidR="00060932" w:rsidRPr="00060932" w:rsidRDefault="00060932" w:rsidP="00060932">
      <w:pPr>
        <w:widowControl/>
        <w:pBdr>
          <w:left w:val="single" w:sz="24" w:space="8" w:color="3498DB"/>
        </w:pBdr>
        <w:spacing w:before="480" w:after="100" w:afterAutospacing="1"/>
        <w:jc w:val="left"/>
        <w:outlineLvl w:val="1"/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  <w:t>一、靶场底层安装</w:t>
      </w:r>
    </w:p>
    <w:p w14:paraId="0093772D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1.1 部署架构</w:t>
      </w:r>
    </w:p>
    <w:p w14:paraId="344F9FB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闽江御盾靶场的部署架构融合了先进的硬件、网络及软件技术，以实现高效、安全且灵活的网络安全演练环境。该架构采用分层设计理念，各层级既独立运行又协同配合，为攻防推演提供稳定可靠的基础支撑。</w:t>
      </w:r>
    </w:p>
    <w:p w14:paraId="6DAEE2F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1.1.1 硬件层架构</w:t>
      </w:r>
    </w:p>
    <w:p w14:paraId="6945AE2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硬件层是靶场运行的物理基础，通过高性能设备的合理搭配，满足靶场对计算、存储、日志分析等核心需求。</w:t>
      </w:r>
    </w:p>
    <w:p w14:paraId="3137DC6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主控节点选用高性能服务器，配备 Intel Xeon Platinum 8380 CPU，拥有 64 核心 128 线程，基础频率 2.3GHz，睿频可达 3.2GHz，128GB DDR4 ECC 内存（频率 3200MHz），具备强大的计算与调度能力，负责整个靶场的核心管理与控制，包括资源分配、任务调度、节点监控等，确保系统稳定运行。</w:t>
      </w:r>
    </w:p>
    <w:p w14:paraId="4710008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计算节点采用多台戴尔 PowerEdge R750 服务器，每台搭载两颗 AMD EPYC 7763 CPU（共 128 核心 256 线程，基础频率 2.45GHz，睿频 3.5GHz），配备 256GB DDR4 内存（频率 2933MHz），为各类靶机（如模拟企业服务器、物联网设备等）的运行提供充足的计算资源，支持多场景并行演练。</w:t>
      </w:r>
    </w:p>
    <w:p w14:paraId="4BF177C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存储节点基于华为 OceanStor 18500F 存储阵列，配置 20 块 15K RPM SAS 1TB 硬盘组成 RAID 50 阵列，兼具高速读写与数据冗余能力，可存储靶机镜像、演练数据、用户配置等信息，保障数据的安全与快速访问。</w:t>
      </w:r>
    </w:p>
    <w:p w14:paraId="098D4911" w14:textId="77777777" w:rsid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日志服务器采用联想 ThinkSystem SR650，配备 Intel Xeon Silver 4316 CPU（16 核心 32 线程，基础频率 2.3GHz，睿频 2.8GHz），64GB DDR4 内存（频率 2666MHz），专门用于收集、存储和分析靶场运行过程中产生的海量日志信息（如攻击行为日志、系统操作日志等），为演练复盘与安全分析提供数据支持。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19"/>
        <w:gridCol w:w="1497"/>
        <w:gridCol w:w="2003"/>
        <w:gridCol w:w="1231"/>
        <w:gridCol w:w="1226"/>
        <w:gridCol w:w="1814"/>
      </w:tblGrid>
      <w:tr w:rsidR="00131231" w:rsidRPr="00131231" w14:paraId="755FB080" w14:textId="77777777" w:rsidTr="0013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F09A0" w14:textId="77777777" w:rsidR="00131231" w:rsidRPr="00131231" w:rsidRDefault="00131231" w:rsidP="00131231">
            <w:pPr>
              <w:widowControl/>
              <w:jc w:val="center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节点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lastRenderedPageBreak/>
              <w:t>类型</w:t>
            </w:r>
          </w:p>
        </w:tc>
        <w:tc>
          <w:tcPr>
            <w:tcW w:w="0" w:type="auto"/>
            <w:hideMark/>
          </w:tcPr>
          <w:p w14:paraId="604106AE" w14:textId="77777777" w:rsidR="00131231" w:rsidRPr="00131231" w:rsidRDefault="00131231" w:rsidP="0013123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lastRenderedPageBreak/>
              <w:t>服务器型号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/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硬件平台</w:t>
            </w:r>
          </w:p>
        </w:tc>
        <w:tc>
          <w:tcPr>
            <w:tcW w:w="0" w:type="auto"/>
            <w:hideMark/>
          </w:tcPr>
          <w:p w14:paraId="39AA2CF5" w14:textId="77777777" w:rsidR="00131231" w:rsidRPr="00131231" w:rsidRDefault="00131231" w:rsidP="0013123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CPU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参数</w:t>
            </w:r>
          </w:p>
        </w:tc>
        <w:tc>
          <w:tcPr>
            <w:tcW w:w="0" w:type="auto"/>
            <w:hideMark/>
          </w:tcPr>
          <w:p w14:paraId="508B947C" w14:textId="77777777" w:rsidR="00131231" w:rsidRPr="00131231" w:rsidRDefault="00131231" w:rsidP="0013123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内存参数</w:t>
            </w:r>
          </w:p>
        </w:tc>
        <w:tc>
          <w:tcPr>
            <w:tcW w:w="0" w:type="auto"/>
            <w:hideMark/>
          </w:tcPr>
          <w:p w14:paraId="15CC3EF4" w14:textId="77777777" w:rsidR="00131231" w:rsidRPr="00131231" w:rsidRDefault="00131231" w:rsidP="0013123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存储配置</w:t>
            </w:r>
          </w:p>
        </w:tc>
        <w:tc>
          <w:tcPr>
            <w:tcW w:w="0" w:type="auto"/>
            <w:hideMark/>
          </w:tcPr>
          <w:p w14:paraId="5797CB50" w14:textId="77777777" w:rsidR="00131231" w:rsidRPr="00131231" w:rsidRDefault="00131231" w:rsidP="00131231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主要功能描述</w:t>
            </w:r>
          </w:p>
        </w:tc>
      </w:tr>
      <w:tr w:rsidR="00131231" w:rsidRPr="00131231" w14:paraId="524DA855" w14:textId="77777777" w:rsidTr="00131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302AD" w14:textId="77777777" w:rsidR="00131231" w:rsidRPr="00131231" w:rsidRDefault="00131231" w:rsidP="0013123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主控节点</w:t>
            </w:r>
          </w:p>
        </w:tc>
        <w:tc>
          <w:tcPr>
            <w:tcW w:w="0" w:type="auto"/>
            <w:hideMark/>
          </w:tcPr>
          <w:p w14:paraId="558AA181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高性能服务器</w:t>
            </w:r>
          </w:p>
        </w:tc>
        <w:tc>
          <w:tcPr>
            <w:tcW w:w="0" w:type="auto"/>
            <w:hideMark/>
          </w:tcPr>
          <w:p w14:paraId="4262B90A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Intel Xeon Platinum 8380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64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核心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128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线程，基础频率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2.3GHz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，睿频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3.2GHz</w:t>
            </w:r>
          </w:p>
        </w:tc>
        <w:tc>
          <w:tcPr>
            <w:tcW w:w="0" w:type="auto"/>
            <w:hideMark/>
          </w:tcPr>
          <w:p w14:paraId="6061930A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128GB DDR4 ECC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3200MHz</w:t>
            </w:r>
          </w:p>
        </w:tc>
        <w:tc>
          <w:tcPr>
            <w:tcW w:w="0" w:type="auto"/>
            <w:hideMark/>
          </w:tcPr>
          <w:p w14:paraId="1A52E1BE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78AAFA34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负责靶场核心管理与控制，包括资源分配、任务调度、节点监控等，确保系统稳定运行。</w:t>
            </w:r>
          </w:p>
        </w:tc>
      </w:tr>
      <w:tr w:rsidR="00131231" w:rsidRPr="00131231" w14:paraId="680C8AFE" w14:textId="77777777" w:rsidTr="00131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FA012" w14:textId="77777777" w:rsidR="00131231" w:rsidRPr="00131231" w:rsidRDefault="00131231" w:rsidP="0013123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计算节点</w:t>
            </w:r>
          </w:p>
        </w:tc>
        <w:tc>
          <w:tcPr>
            <w:tcW w:w="0" w:type="auto"/>
            <w:hideMark/>
          </w:tcPr>
          <w:p w14:paraId="0BEC8831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戴尔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PowerEdge R750</w:t>
            </w:r>
          </w:p>
        </w:tc>
        <w:tc>
          <w:tcPr>
            <w:tcW w:w="0" w:type="auto"/>
            <w:hideMark/>
          </w:tcPr>
          <w:p w14:paraId="0C317561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2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颗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AMD EPYC 7763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，共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128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核心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256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线程，基础频率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2.45GHz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，睿频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3.5GHz</w:t>
            </w:r>
          </w:p>
        </w:tc>
        <w:tc>
          <w:tcPr>
            <w:tcW w:w="0" w:type="auto"/>
            <w:hideMark/>
          </w:tcPr>
          <w:p w14:paraId="6070B8D8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256GB DDR4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2933MHz</w:t>
            </w:r>
          </w:p>
        </w:tc>
        <w:tc>
          <w:tcPr>
            <w:tcW w:w="0" w:type="auto"/>
            <w:hideMark/>
          </w:tcPr>
          <w:p w14:paraId="5F700F8F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6911B9AA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为各类靶机（模拟企业服务器、物联网设备等）提供计算资源，支持多场景并行演练。</w:t>
            </w:r>
          </w:p>
        </w:tc>
      </w:tr>
      <w:tr w:rsidR="00131231" w:rsidRPr="00131231" w14:paraId="7094367E" w14:textId="77777777" w:rsidTr="00131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D231E" w14:textId="77777777" w:rsidR="00131231" w:rsidRPr="00131231" w:rsidRDefault="00131231" w:rsidP="0013123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存储节点</w:t>
            </w:r>
          </w:p>
        </w:tc>
        <w:tc>
          <w:tcPr>
            <w:tcW w:w="0" w:type="auto"/>
            <w:hideMark/>
          </w:tcPr>
          <w:p w14:paraId="7878FE80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华为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OceanStor 18500F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存储阵列</w:t>
            </w:r>
          </w:p>
        </w:tc>
        <w:tc>
          <w:tcPr>
            <w:tcW w:w="0" w:type="auto"/>
            <w:hideMark/>
          </w:tcPr>
          <w:p w14:paraId="54C87513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29404E6B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230D23A8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20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块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15K RPM SAS 1TB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硬盘，组成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RAID 50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阵列</w:t>
            </w:r>
          </w:p>
        </w:tc>
        <w:tc>
          <w:tcPr>
            <w:tcW w:w="0" w:type="auto"/>
            <w:hideMark/>
          </w:tcPr>
          <w:p w14:paraId="4A1DB421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存储靶机镜像、演练数据、用户配置等信息，兼具高速读写与数据冗余能力。</w:t>
            </w:r>
          </w:p>
        </w:tc>
      </w:tr>
      <w:tr w:rsidR="00131231" w:rsidRPr="00131231" w14:paraId="084FD5E3" w14:textId="77777777" w:rsidTr="00131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7E2F" w14:textId="77777777" w:rsidR="00131231" w:rsidRPr="00131231" w:rsidRDefault="00131231" w:rsidP="0013123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日志服务器</w:t>
            </w:r>
          </w:p>
        </w:tc>
        <w:tc>
          <w:tcPr>
            <w:tcW w:w="0" w:type="auto"/>
            <w:hideMark/>
          </w:tcPr>
          <w:p w14:paraId="4B246EAC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联想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ThinkSystem SR650</w:t>
            </w:r>
          </w:p>
        </w:tc>
        <w:tc>
          <w:tcPr>
            <w:tcW w:w="0" w:type="auto"/>
            <w:hideMark/>
          </w:tcPr>
          <w:p w14:paraId="4FB68CA8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Intel Xeon Silver 4316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16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核心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32 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线程，基础频率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2.3GHz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，睿频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 xml:space="preserve"> 2.8GHz</w:t>
            </w:r>
          </w:p>
        </w:tc>
        <w:tc>
          <w:tcPr>
            <w:tcW w:w="0" w:type="auto"/>
            <w:hideMark/>
          </w:tcPr>
          <w:p w14:paraId="293EFBF9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64GB DDR4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，</w:t>
            </w: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2666MHz</w:t>
            </w:r>
          </w:p>
        </w:tc>
        <w:tc>
          <w:tcPr>
            <w:tcW w:w="0" w:type="auto"/>
            <w:hideMark/>
          </w:tcPr>
          <w:p w14:paraId="70554B5B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hideMark/>
          </w:tcPr>
          <w:p w14:paraId="1338E257" w14:textId="77777777" w:rsidR="00131231" w:rsidRPr="00131231" w:rsidRDefault="00131231" w:rsidP="00131231">
            <w:pPr>
              <w:widowControl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</w:pPr>
            <w:r w:rsidRPr="00131231">
              <w:rPr>
                <w:rFonts w:ascii="Segoe UI" w:eastAsia="宋体" w:hAnsi="Segoe UI" w:cs="Segoe UI"/>
                <w:color w:val="000000"/>
                <w:kern w:val="0"/>
                <w:sz w:val="18"/>
                <w:szCs w:val="18"/>
              </w:rPr>
              <w:t>收集、存储和分析靶场运行日志（攻击行为日志、系统操作日志等），支持演练复盘。</w:t>
            </w:r>
          </w:p>
        </w:tc>
      </w:tr>
    </w:tbl>
    <w:p w14:paraId="0E4D094A" w14:textId="1FF11AFB" w:rsidR="00F20722" w:rsidRPr="00060932" w:rsidRDefault="00F2072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0A23C84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1.1.2 网络层硬件架构</w:t>
      </w:r>
    </w:p>
    <w:p w14:paraId="19C73ED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网络层硬件负责靶场内部及内外交互的数据传输，通过高性能设备与安全策略，保障网络通畅与安全隔离。</w:t>
      </w:r>
    </w:p>
    <w:p w14:paraId="0BC15E1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核心交换机选用华为 CloudEngine 16800-48C，提供 48 个 100GE 端口，具备高达 12.8Tbps 的背板带宽，支持海量数据高速转发，是靶场内部各节点（主控、计算、存储等）通信的核心枢纽。</w:t>
      </w:r>
    </w:p>
    <w:p w14:paraId="1442AE5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搭配深信服 AD 系列负载均衡器，通过智能算法（如轮询、加权最少连接等）将用户请求与内部业务流量均匀分配至各节点，避免单点过载，提升系统整体性能与可用性。</w:t>
      </w:r>
    </w:p>
    <w:p w14:paraId="5D26CBE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部署网御星云防火墙，具备万兆级别的吞吐能力，支持入侵检测与防御（IDS/IPS）、防病毒、URL 过滤等功能，严格控制网络访问（如限制外部对靶机的非授权访问、隔离不同演练场景的网络），保障靶场网络安全。</w:t>
      </w:r>
    </w:p>
    <w:p w14:paraId="2F3F88F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1.1.3 软件层架构</w:t>
      </w:r>
    </w:p>
    <w:p w14:paraId="337637D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软件层架构基于分层设计，实现用户交互、业务逻辑处理与数据存储的解耦，提升系统扩展性与维护性。</w:t>
      </w:r>
    </w:p>
    <w:p w14:paraId="5949BB6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应用层主要面向用户，提供直观友好的 Web 界面，采用 Vue.js 框架结合 Element UI 组件库开发，具备响应式设计，可适配不同终端设备（PC、平板等），方便用户进行场景创建、演练操作、结果查看等。</w:t>
      </w:r>
    </w:p>
    <w:p w14:paraId="7CA6448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服务层基于 Spring Cloud 微服务架构，将系统拆分为多个独立服务，如用户管理服务（负责账号、权限管理）、场景管理服务（负责演练场景的创建与生命周期管理）、攻击防御服务（负责调度攻击/防御AGENT）等，各服务间通过 RESTful API 进行通信，实现高内聚、低耦合，便于单独扩展与维护。</w:t>
      </w:r>
    </w:p>
    <w:p w14:paraId="119F5259" w14:textId="77777777" w:rsid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数据层使用多类型数据库协同存储：MySQL 8.0 关系型数据库存储结构化数据（如用户信息、演练配置、权限规则等）；Elasticsearch 7.17 作为分布式搜索引擎，存储和检索非结构化日志数据（如攻击行为日志、系统运行日志），支持全文检索与实时分析；Redis 6.2 作为缓存数据库，存储热点数据（如用户会话、高频访问的场景配置），减少数据库访问压力，提升系统响应速度。</w:t>
      </w:r>
    </w:p>
    <w:p w14:paraId="02BA2396" w14:textId="2EC7CC9E" w:rsidR="00131231" w:rsidRPr="00060932" w:rsidRDefault="00131231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131231">
        <w:rPr>
          <w:rFonts w:ascii="宋体" w:eastAsia="宋体" w:hAnsi="宋体" w:cs="宋体"/>
          <w:kern w:val="0"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4201A1F7" wp14:editId="79C9D139">
            <wp:simplePos x="0" y="0"/>
            <wp:positionH relativeFrom="column">
              <wp:posOffset>0</wp:posOffset>
            </wp:positionH>
            <wp:positionV relativeFrom="paragraph">
              <wp:posOffset>375920</wp:posOffset>
            </wp:positionV>
            <wp:extent cx="5270500" cy="6774815"/>
            <wp:effectExtent l="0" t="0" r="0" b="0"/>
            <wp:wrapTopAndBottom/>
            <wp:docPr id="1257443879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43879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18121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1.2 底层系统安装</w:t>
      </w:r>
    </w:p>
    <w:p w14:paraId="1833A3B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靶场底层系统以开源技术为核心，结合容器化与AI能力，构建灵活可扩展的基础运行环境，包括云计算平台、容器管理平台、大语言模型及AGENT组件的部署。</w:t>
      </w:r>
    </w:p>
    <w:p w14:paraId="101D277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1.2.1 Openstack开源云计算平台安装</w:t>
      </w:r>
    </w:p>
    <w:p w14:paraId="49807EC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Openstack作为靶场的云计算基础，提供虚拟机生命周期管理、网络配置、镜像管理等核心能力，支撑靶机的动态创建与资源分配。</w:t>
      </w:r>
    </w:p>
    <w:p w14:paraId="618BD9F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安装前需确保服务器硬件满足要求（如CPU支持虚拟化技术、内存≥64GB、硬盘≥500GB），并配置好网络（区分管理网、业务网等）。以Ubuntu 20.04作为操作系统基础，先安装相关依赖包：OpenStack客户端工具（python3-openstackclient）、数据库服务（MySQL 8.0或MariaDB 10.5）、消息队列服务（RabbitMQ）、缓存服务（Memcached）等。</w:t>
      </w:r>
    </w:p>
    <w:p w14:paraId="4D353AAF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接着按照OpenStack官方文档步骤，依次安装和配置各个核心组件：Keystone（身份认证服务，负责用户与服务的身份验证）、Glance（镜像服务，管理靶机操作系统镜像）、Nova（计算服务，调度虚拟机创建与运行）、Neutron（网络服务，配置虚拟机网络与子网）、Cinder（块存储服务，为虚拟机提供持久化存储）等。</w:t>
      </w:r>
    </w:p>
    <w:p w14:paraId="0E192BA3" w14:textId="3F483FBE" w:rsidR="00060932" w:rsidRDefault="009558C4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noProof/>
          <w:kern w:val="0"/>
          <w:sz w:val="24"/>
        </w:rPr>
        <w:drawing>
          <wp:anchor distT="0" distB="0" distL="114300" distR="114300" simplePos="0" relativeHeight="251660288" behindDoc="0" locked="0" layoutInCell="1" allowOverlap="1" wp14:anchorId="0F01B0BB" wp14:editId="235F8809">
            <wp:simplePos x="0" y="0"/>
            <wp:positionH relativeFrom="column">
              <wp:posOffset>0</wp:posOffset>
            </wp:positionH>
            <wp:positionV relativeFrom="paragraph">
              <wp:posOffset>869315</wp:posOffset>
            </wp:positionV>
            <wp:extent cx="5270500" cy="2985135"/>
            <wp:effectExtent l="0" t="0" r="0" b="0"/>
            <wp:wrapTopAndBottom/>
            <wp:docPr id="1162742930" name="图片 2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2930" name="图片 2" descr="图形用户界面, 文本, 应用程序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0932" w:rsidRPr="00060932">
        <w:rPr>
          <w:rFonts w:ascii="宋体" w:eastAsia="宋体" w:hAnsi="宋体" w:cs="宋体"/>
          <w:kern w:val="0"/>
          <w:sz w:val="24"/>
        </w:rPr>
        <w:t>配置过程中，需根据实际需求设置各组件参数，如网络拓扑（选择Flat、VLAN等网络模式）、存储配置（本地存储或共享存储）、认证方式（令牌有效期、加密算法）等，通过OpenStack CLI或Dashboard验证各组件间通信正常，最终构建出稳定的云平台。</w:t>
      </w:r>
    </w:p>
    <w:p w14:paraId="25A2E913" w14:textId="5C01773D" w:rsidR="009558C4" w:rsidRPr="009558C4" w:rsidRDefault="009558C4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2201C78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1.2.2 Kubernetes容器管理平台安装</w:t>
      </w:r>
    </w:p>
    <w:p w14:paraId="394F53D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Kubernetes（K8S）负责对Docker类型靶机容器进行编排与管理，支持容器的快速部署、扩展与自愈，提升靶场资源利用率。</w:t>
      </w:r>
    </w:p>
    <w:p w14:paraId="3351216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采用kubeadm工具进行快速部署：首先在各节点（主节点与工作节点）上安装Docker容器运行时（版本≥20.10），配置Docker镜像加速器以提升镜像拉取</w:t>
      </w:r>
      <w:r w:rsidRPr="00060932">
        <w:rPr>
          <w:rFonts w:ascii="宋体" w:eastAsia="宋体" w:hAnsi="宋体" w:cs="宋体"/>
          <w:kern w:val="0"/>
          <w:sz w:val="24"/>
        </w:rPr>
        <w:lastRenderedPageBreak/>
        <w:t>速度；接着安装kubeadm、kubelet、kubectl工具（版本需保持一致，建议选用1.24+稳定版）。</w:t>
      </w:r>
    </w:p>
    <w:p w14:paraId="4A7A1C6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初始化Kubernetes主节点：通过kubeadm init --pod-network-cidr=10.244.0.0/16命令完成主节点的初始化配置（--pod-network-cidr指定容器网络网段），生成相关配置文件和证书；执行提示命令配置kubectl客户端（如复制admin.conf到~/.kube/config）。</w:t>
      </w:r>
    </w:p>
    <w:p w14:paraId="49A105B8" w14:textId="77777777" w:rsid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加入工作节点：在工作节点上执行主节点初始化完成后输出的kubeadm join命令（包含令牌与证书哈希），将工作节点加入到Kubernetes集群；安装完成后，部署Calico网络插件（kubectl apply -f https://docs.projectcalico.org/v3.24/manifests/calico.yaml），为容器提供高效的网络通信能力，实现容器间的互联互通。</w:t>
      </w:r>
    </w:p>
    <w:p w14:paraId="7C40925F" w14:textId="12FEFE7E" w:rsidR="00792E04" w:rsidRPr="00060932" w:rsidRDefault="00792E04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792E04">
        <w:rPr>
          <w:rFonts w:ascii="宋体" w:eastAsia="宋体" w:hAnsi="宋体" w:cs="宋体"/>
          <w:kern w:val="0"/>
          <w:sz w:val="24"/>
        </w:rPr>
        <w:drawing>
          <wp:anchor distT="0" distB="0" distL="114300" distR="114300" simplePos="0" relativeHeight="251662336" behindDoc="0" locked="0" layoutInCell="1" allowOverlap="1" wp14:anchorId="5B75DC39" wp14:editId="14EDFDBF">
            <wp:simplePos x="0" y="0"/>
            <wp:positionH relativeFrom="column">
              <wp:posOffset>0</wp:posOffset>
            </wp:positionH>
            <wp:positionV relativeFrom="paragraph">
              <wp:posOffset>375920</wp:posOffset>
            </wp:positionV>
            <wp:extent cx="5270500" cy="5487670"/>
            <wp:effectExtent l="0" t="0" r="0" b="0"/>
            <wp:wrapTopAndBottom/>
            <wp:docPr id="8044214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1406" name="图片 1" descr="表格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D1CD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1.2.3 本地大语言模型（Qwen-32B）部署</w:t>
      </w:r>
    </w:p>
    <w:p w14:paraId="3017970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本地大语言模型Qwen-32B为靶场提供智能问答、漏洞分析等本地化语言处理能力，无需依赖外部网络，保障数据安全性。</w:t>
      </w:r>
    </w:p>
    <w:p w14:paraId="1408DEB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部署前需确保服务器配备NVIDIA A100 GPU加速卡（至少1张，建议2张以上以提升推理速度），安装GPU驱动（版本≥470.57.02）、CUDA 11.7+、cuDNN 8.4+等深度学习运行环境，通过nvidia-smi命令验证GPU与驱动是否正常工作。</w:t>
      </w:r>
    </w:p>
    <w:p w14:paraId="3355457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从官方仓库（如阿里云灵积模型服务）下载Qwen-32B模型权重文件（需遵守模型使用协议），放置于/data/models/qwen-32b目录；使用Hugging Face的Transformers库加载模型，示例代码如下：</w:t>
      </w:r>
    </w:p>
    <w:p w14:paraId="69577D9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from transformers import AutoTokenizer, AutoModelForCausalLM</w:t>
      </w:r>
    </w:p>
    <w:p w14:paraId="5C78DD2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3C8BA7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tokenizer = AutoTokenizer.from_pretrained("/data/models/qwen-32b")</w:t>
      </w:r>
    </w:p>
    <w:p w14:paraId="66A75CB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model = AutoModelForCausalLM.from_pretrained(</w:t>
      </w:r>
    </w:p>
    <w:p w14:paraId="3D9DF79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"/data/models/qwen-32b",</w:t>
      </w:r>
    </w:p>
    <w:p w14:paraId="702FF40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device_map="auto",</w:t>
      </w:r>
    </w:p>
    <w:p w14:paraId="7AB2B09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torch_dtype="auto"</w:t>
      </w:r>
    </w:p>
    <w:p w14:paraId="342EC76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)</w:t>
      </w:r>
    </w:p>
    <w:p w14:paraId="01A4E68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配置超参数</w:t>
      </w:r>
    </w:p>
    <w:p w14:paraId="2E2CABA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model.config.max_new_tokens = 1024  # 最大生成 tokens 数</w:t>
      </w:r>
    </w:p>
    <w:p w14:paraId="02C1DAA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model.config.temperature = 0.7  # 生成多样性（0-1，值越小越确定）</w:t>
      </w:r>
    </w:p>
    <w:p w14:paraId="61EDBB0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</w:t>
      </w:r>
    </w:p>
    <w:p w14:paraId="782CDDE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启动模型服务后，可通过内部API接口为靶场提供漏洞描述生成、攻击步骤解释等功能，根据服务器硬件资源调整批处理大小（建议初始设为2-4）、学习率等超参数，平衡性能与效率。</w:t>
      </w:r>
    </w:p>
    <w:p w14:paraId="6C493A8F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1.2.4 线上大语言模型（Deepseek）接入</w:t>
      </w:r>
    </w:p>
    <w:p w14:paraId="50586BC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线上大语言模型Deepseek具备卓越的复杂问题处理能力，通过API接入为靶场补充智能攻击策略生成、防御建议提供等高级功能。</w:t>
      </w:r>
    </w:p>
    <w:p w14:paraId="6B2B4D1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首先在Deepseek官方平台注册账号，申请API密钥（API Key），并了解接口规范（如请求URL、参数格式、返回数据结构）；Deepseek采用先进的混合专家架构（MoE）和多头潜在注意力机制（MLA），支持多轮对话与结构化输出，适合处理攻防场景中的复杂逻辑推理。</w:t>
      </w:r>
    </w:p>
    <w:p w14:paraId="7739541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在靶场系统中编写调用代码，示例如下：</w:t>
      </w:r>
    </w:p>
    <w:p w14:paraId="6D5C671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requests</w:t>
      </w:r>
    </w:p>
    <w:p w14:paraId="0CEC1B7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json</w:t>
      </w:r>
    </w:p>
    <w:p w14:paraId="58E5DDD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057D9EB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url = "https://api.deepseek.com/v1/chat/completions"</w:t>
      </w:r>
    </w:p>
    <w:p w14:paraId="3F3E78C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headers = {</w:t>
      </w:r>
    </w:p>
    <w:p w14:paraId="5AABF07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"Content-Type": "application/json",</w:t>
      </w:r>
    </w:p>
    <w:p w14:paraId="1133CE7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"Authorization": "Bearer your_api_key"</w:t>
      </w:r>
    </w:p>
    <w:p w14:paraId="0B851DB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}</w:t>
      </w:r>
    </w:p>
    <w:p w14:paraId="0CD12DC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data = {</w:t>
      </w:r>
    </w:p>
    <w:p w14:paraId="4FD5E54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"model": "deepseek-chat",</w:t>
      </w:r>
    </w:p>
    <w:p w14:paraId="5BCA11F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"messages": [</w:t>
      </w:r>
    </w:p>
    <w:p w14:paraId="7220E30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{"role": "system", "content": "你是靶场攻防策略分析师，需基于漏洞类型生成攻击步骤"},</w:t>
      </w:r>
    </w:p>
    <w:p w14:paraId="72B2BF1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{"role": "user", "content": "针对SQL注入漏洞，生成详细攻击步骤"}</w:t>
      </w:r>
    </w:p>
    <w:p w14:paraId="4E59A1B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]</w:t>
      </w:r>
    </w:p>
    <w:p w14:paraId="5F9D7A3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}</w:t>
      </w:r>
    </w:p>
    <w:p w14:paraId="376570A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response = requests.post(url, headers=headers, data=json.dumps(data))</w:t>
      </w:r>
    </w:p>
    <w:p w14:paraId="49A0BCF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result = response.json()</w:t>
      </w:r>
    </w:p>
    <w:p w14:paraId="367E564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print(result["choices"][0]["message"]["content"])</w:t>
      </w:r>
    </w:p>
    <w:p w14:paraId="27C1AA8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</w:t>
      </w:r>
    </w:p>
    <w:p w14:paraId="4BB6EB3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根据实际应用场景（如攻击策略生成、防御建议）对接口返回的数据进行二次处理，添加错误重试机制（如网络超时重连），确保调用稳定性。</w:t>
      </w:r>
    </w:p>
    <w:p w14:paraId="436B248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1.2.5 AGENT开发与部署</w:t>
      </w:r>
    </w:p>
    <w:p w14:paraId="00643C3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AGENT是靶场实现动态攻防推演的核心组件，分为攻击AGENT与防御AGENT，通过Python语言结合Flask框架开发，实现自动化攻击与实时防御。</w:t>
      </w:r>
    </w:p>
    <w:p w14:paraId="2065B05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攻击AGENT利用Python丰富的库资源实现多种攻击技术：Scapy库用于构造与发送网络数据包（如模拟DDoS攻击）、Paramiko库实现SSH远程连接（用于弱口令爆破）、Sqlmap-api库集成SQL注入检测与利用功能、BeautifulSoup库解析网页内容（辅助XSS攻击）等。攻击AGENT可模拟真实攻击场景（如SQL注入获取数据库信息、XSS窃取cookie），并记录攻击过程与结果。</w:t>
      </w:r>
    </w:p>
    <w:p w14:paraId="7829D3B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防御AGENT实时监控靶机的网络流量（通过tcpdump抓包分析）、系统日志（/var/log/目录下的auth.log、syslog等）、进程状态（通过ps命令）等信息，利用机器学习算法（如支持向量机SVM、决策树）进行异常检测。例如，通过分析HTTP请求特征识别SQL注入攻击，一旦发现异常，立即采取阻断（调用防火墙API添加拦截规则）、报警（发送邮件或短信至管理员）等防御措施。</w:t>
      </w:r>
    </w:p>
    <w:p w14:paraId="77ABF5DC" w14:textId="77777777" w:rsid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将AGENT打包为Docker镜像，通过Kubernetes Deployment部署在集群中，配置资源限制（如CPU≤2核、内存≤4GB）与自动扩缩容规则（如根据靶机数量动态调整AGENT实例数），实现快速部署、扩展与维护。</w:t>
      </w:r>
    </w:p>
    <w:p w14:paraId="0177DD98" w14:textId="60F2627D" w:rsidR="00792E04" w:rsidRPr="00060932" w:rsidRDefault="00792E04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792E04">
        <w:rPr>
          <w:rFonts w:ascii="宋体" w:eastAsia="宋体" w:hAnsi="宋体" w:cs="宋体"/>
          <w:kern w:val="0"/>
          <w:sz w:val="24"/>
        </w:rPr>
        <w:lastRenderedPageBreak/>
        <w:drawing>
          <wp:anchor distT="0" distB="0" distL="114300" distR="114300" simplePos="0" relativeHeight="251664384" behindDoc="0" locked="0" layoutInCell="1" allowOverlap="1" wp14:anchorId="4DB9461A" wp14:editId="04273992">
            <wp:simplePos x="0" y="0"/>
            <wp:positionH relativeFrom="column">
              <wp:posOffset>0</wp:posOffset>
            </wp:positionH>
            <wp:positionV relativeFrom="paragraph">
              <wp:posOffset>375920</wp:posOffset>
            </wp:positionV>
            <wp:extent cx="5270500" cy="5232400"/>
            <wp:effectExtent l="0" t="0" r="0" b="0"/>
            <wp:wrapTopAndBottom/>
            <wp:docPr id="168385354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53543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BEF14" w14:textId="77777777" w:rsidR="00060932" w:rsidRPr="00060932" w:rsidRDefault="00060932" w:rsidP="00060932">
      <w:pPr>
        <w:widowControl/>
        <w:pBdr>
          <w:left w:val="single" w:sz="24" w:space="8" w:color="3498DB"/>
        </w:pBdr>
        <w:spacing w:before="480" w:after="100" w:afterAutospacing="1"/>
        <w:jc w:val="left"/>
        <w:outlineLvl w:val="1"/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  <w:t>二、靶场软件安装</w:t>
      </w:r>
    </w:p>
    <w:p w14:paraId="689FAEC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在完成靶场底层安装后，需进行靶场软件的安装与配置，实现用户交互与自动化集成功能，包括浏览器访问与API接口两种方式。</w:t>
      </w:r>
    </w:p>
    <w:p w14:paraId="5101D4D3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2.1 浏览器访问配置</w:t>
      </w:r>
    </w:p>
    <w:p w14:paraId="4E4E812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浏览器访问是靶场最直观的使用方式，用户通过Web界面完成场景创建、演练管理等操作，需进行访问地址配置与证书处理。</w:t>
      </w:r>
    </w:p>
    <w:p w14:paraId="34BCF76E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2.1.1 访问地址与端口配置</w:t>
      </w:r>
    </w:p>
    <w:p w14:paraId="506CF70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靶场Web服务默认部署在主控节点，端口为8080（可通过配置文件修改，如/etc/minjiangyudun/web.conf中的server_port参数）。若靶场部署在内网</w:t>
      </w:r>
      <w:r w:rsidRPr="00060932">
        <w:rPr>
          <w:rFonts w:ascii="宋体" w:eastAsia="宋体" w:hAnsi="宋体" w:cs="宋体"/>
          <w:kern w:val="0"/>
          <w:sz w:val="24"/>
        </w:rPr>
        <w:lastRenderedPageBreak/>
        <w:t>环境，访问地址为服务器内网IP+端口，如“http://192.168.1.100:8080”；若通过公网访问，需配置域名解析（将域名指向服务器公网IP），并开放防火墙8080端口（或通过Nginx反向代理至443端口），访问地址为“https://minjiangyudun.com”。</w:t>
      </w:r>
    </w:p>
    <w:p w14:paraId="7F4D86A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2.1.2 证书处理与登录操作</w:t>
      </w:r>
    </w:p>
    <w:p w14:paraId="5C32CC7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首次访问时，由于靶场默认使用自签名证书（用于测试环境），浏览器会提示“安全风险”（如Chrome显示“您的连接不是私密连接”）。用户需确认访问地址正确后，通过浏览器高级选项选择“继续访问”（不同浏览器步骤略有差异：Chrome点击“高级”→“继续前往192.168.1.100（不安全）”）。</w:t>
      </w:r>
    </w:p>
    <w:p w14:paraId="23D9F1EE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进入登录页面后，输入管理员预先分配的账号（如admin）和密码（初始密码通常为Admin@123，建议首次登录后修改），点击“登录”按钮进入Web管理界面。</w:t>
      </w:r>
    </w:p>
    <w:p w14:paraId="5A0B576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2.1.3 Web界面核心功能操作</w:t>
      </w:r>
    </w:p>
    <w:p w14:paraId="00252AE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Web管理界面包含多个功能模块，核心操作如下：</w:t>
      </w:r>
    </w:p>
    <w:p w14:paraId="2CEC2FB2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场景创建：点击左侧菜单“场景管理”→“场景创建”，在弹出的对话框中选择场景模板（如“金融支付系统安全演练”“企业办公网络安全测试”），设置参数（靶机数量：1-20台；操作系统类型：Windows Server 2019、Ubuntu 20.04等；漏洞类型：SQL注入、XSS攻击、缓冲区溢出等），点击“确定”后，系统自动在K8S集群中创建靶机实例。</w:t>
      </w:r>
    </w:p>
    <w:p w14:paraId="7BEE8D9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演练监控：在“演练管理”→“实时监控”页面，可查看靶机运行状态（CPU/内存使用率、网络流量）、攻击AGENT的攻击记录（攻击时间、类型、结果）、防御AGENT的防御动作（阻断次数、报警信息），支持通过时间轴回放演练过程。</w:t>
      </w:r>
    </w:p>
    <w:p w14:paraId="09BABE7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用户管理：管理员在“系统设置”→“用户管理”中，可创建用户账号、分配角色（管理员、普通用户、访客）、设置权限（如是否允许创建场景、查看日志），确保操作安全性。</w:t>
      </w:r>
    </w:p>
    <w:p w14:paraId="5C2A72C9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2.2 API接口配置与使用</w:t>
      </w:r>
    </w:p>
    <w:p w14:paraId="63827DC2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API接口为有自动化需求或系统集成需求的用户提供访问方式，支持场景管理、攻击防御等功能的程序化调用。</w:t>
      </w:r>
    </w:p>
    <w:p w14:paraId="201F552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2.2.1 API密钥获取与权限配置</w:t>
      </w:r>
    </w:p>
    <w:p w14:paraId="6D13165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使用API前需获取API密钥：登录Web管理界面，点击右上角用户名→“个人设置”→“API密钥管理”，点击“生成密钥”按钮，系统生成一串32位唯一</w:t>
      </w:r>
      <w:r w:rsidRPr="00060932">
        <w:rPr>
          <w:rFonts w:ascii="宋体" w:eastAsia="宋体" w:hAnsi="宋体" w:cs="宋体"/>
          <w:kern w:val="0"/>
          <w:sz w:val="24"/>
        </w:rPr>
        <w:lastRenderedPageBreak/>
        <w:t>密钥（如“sk_8a3b7c9d0e1f2g3h4i5j6k7l8m9n0o”），点击“复制”保存密钥（密钥仅显示一次，丢失需重新生成）。</w:t>
      </w:r>
    </w:p>
    <w:p w14:paraId="104D82B2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管理员可在“系统设置”→“API权限管理”中，为不同用户的API密钥配置权限（如仅允许创建场景、禁止发起攻击），限制API调用范围，提升安全性。</w:t>
      </w:r>
    </w:p>
    <w:p w14:paraId="089B8DD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2.2.2 场景创建API调用示例</w:t>
      </w:r>
    </w:p>
    <w:p w14:paraId="529DBDF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以创建“金融支付系统安全演练”场景为例，使用Python的requests库调用API，代码如下：</w:t>
      </w:r>
    </w:p>
    <w:p w14:paraId="088D511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requests</w:t>
      </w:r>
    </w:p>
    <w:p w14:paraId="306BFD0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json</w:t>
      </w:r>
    </w:p>
    <w:p w14:paraId="39D7A99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1913BA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url = "http://192.168.1.100:8080/api/scenes"</w:t>
      </w:r>
    </w:p>
    <w:p w14:paraId="5BAB3C6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headers = {</w:t>
      </w:r>
    </w:p>
    <w:p w14:paraId="533A26F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"Authorization": "Bearer sk_8a3b7c9d0e1f2g3h4i5j6k7l8m9n0o",  # 替换为实际API密钥</w:t>
      </w:r>
    </w:p>
    <w:p w14:paraId="78F5DE3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"Content-Type": "application/json"</w:t>
      </w:r>
    </w:p>
    <w:p w14:paraId="0B5AFA4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}</w:t>
      </w:r>
    </w:p>
    <w:p w14:paraId="3C40AA9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data = {</w:t>
      </w:r>
    </w:p>
    <w:p w14:paraId="17DD6E8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"template_name": "金融支付系统安全演练",</w:t>
      </w:r>
    </w:p>
    <w:p w14:paraId="24E5D45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"target_number": 10,  # 靶机数量</w:t>
      </w:r>
    </w:p>
    <w:p w14:paraId="200FAFE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"os_type": ["Windows Server 2019", "Ubuntu 20.04"],  # 操作系统类型</w:t>
      </w:r>
    </w:p>
    <w:p w14:paraId="14DCD1E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"vulnerability_type": ["SQL注入", "XSS攻击", "弱口令"]  # 漏洞类型</w:t>
      </w:r>
    </w:p>
    <w:p w14:paraId="766DEE6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}</w:t>
      </w:r>
    </w:p>
    <w:p w14:paraId="725FAA9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response = requests.post(url, headers=headers, data=json.dumps(data))</w:t>
      </w:r>
    </w:p>
    <w:p w14:paraId="5B1FBC6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if response.status_code == 200:</w:t>
      </w:r>
    </w:p>
    <w:p w14:paraId="6B8C27D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print("场景创建成功，场景ID：", response.json()["scene_id"])</w:t>
      </w:r>
    </w:p>
    <w:p w14:paraId="7AE059A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else:</w:t>
      </w:r>
    </w:p>
    <w:p w14:paraId="0BDD89D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print("场景创建失败，错误信息：", response.text)</w:t>
      </w:r>
    </w:p>
    <w:p w14:paraId="4CFD829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</w:t>
      </w:r>
    </w:p>
    <w:p w14:paraId="34872535" w14:textId="77777777" w:rsid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接口返回200表示成功，返回场景ID（如“scene_123456”）可用于后续查询场景状态；常见错误码：401（密钥无效）、400（参数错误，如靶机数量超过上限）、500（服务器内部错误）。</w:t>
      </w:r>
    </w:p>
    <w:p w14:paraId="624EDF99" w14:textId="20513ED0" w:rsidR="00915106" w:rsidRPr="00060932" w:rsidRDefault="00915106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915106">
        <w:rPr>
          <w:rFonts w:ascii="宋体" w:eastAsia="宋体" w:hAnsi="宋体" w:cs="宋体"/>
          <w:kern w:val="0"/>
          <w:sz w:val="24"/>
        </w:rPr>
        <w:lastRenderedPageBreak/>
        <w:drawing>
          <wp:anchor distT="0" distB="0" distL="114300" distR="114300" simplePos="0" relativeHeight="251666432" behindDoc="0" locked="0" layoutInCell="1" allowOverlap="1" wp14:anchorId="67E3699B" wp14:editId="19342360">
            <wp:simplePos x="0" y="0"/>
            <wp:positionH relativeFrom="column">
              <wp:posOffset>0</wp:posOffset>
            </wp:positionH>
            <wp:positionV relativeFrom="paragraph">
              <wp:posOffset>375920</wp:posOffset>
            </wp:positionV>
            <wp:extent cx="5270500" cy="3886200"/>
            <wp:effectExtent l="0" t="0" r="0" b="0"/>
            <wp:wrapTopAndBottom/>
            <wp:docPr id="1819877634" name="图片 1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77634" name="图片 1" descr="图示, 日程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8DEC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2.2.3 其他常用API接口说明</w:t>
      </w:r>
    </w:p>
    <w:p w14:paraId="26E7626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除场景创建外，靶场还提供以下常用API接口：</w:t>
      </w:r>
    </w:p>
    <w:p w14:paraId="15B677F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场景状态查询：GET /api/scenes/{scene_id}，返回场景当前状态（运行中、已结束、异常）及靶机列表。</w:t>
      </w:r>
    </w:p>
    <w:p w14:paraId="1424E5D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发起攻击任务：POST /api/attacks，参数包括场景ID、攻击类型、目标靶机IP，返回攻击任务ID。</w:t>
      </w:r>
    </w:p>
    <w:p w14:paraId="6692624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获取演练日志：GET /api/logs?scene_id={scene_id}，返回指定场景的攻击/防御日志（JSON格式）。</w:t>
      </w:r>
    </w:p>
    <w:p w14:paraId="18D09988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用户可参考靶场提供的API文档（访问http://192.168.1.100:8080/api/docs查看），实现更复杂的自动化操作。</w:t>
      </w:r>
    </w:p>
    <w:p w14:paraId="159EAD2F" w14:textId="77777777" w:rsidR="00060932" w:rsidRPr="00060932" w:rsidRDefault="00060932" w:rsidP="00060932">
      <w:pPr>
        <w:widowControl/>
        <w:pBdr>
          <w:left w:val="single" w:sz="24" w:space="8" w:color="3498DB"/>
        </w:pBdr>
        <w:spacing w:before="480" w:after="100" w:afterAutospacing="1"/>
        <w:jc w:val="left"/>
        <w:outlineLvl w:val="1"/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  <w:t>三、靶场使用方法</w:t>
      </w:r>
    </w:p>
    <w:p w14:paraId="03668F1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闽江御盾靶场支持浏览器手动操作与API自动化调用两种使用方式，满足不同用户的需求（如教学演示、自动化测试），以下详细介绍具体操作流程。</w:t>
      </w:r>
    </w:p>
    <w:p w14:paraId="108BFC83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lastRenderedPageBreak/>
        <w:t>3.1 浏览器访问使用方法</w:t>
      </w:r>
    </w:p>
    <w:p w14:paraId="6562E5EF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通过浏览器访问靶场适合手动创建场景、实时监控演练过程，操作步骤简单直观，适合初学者或需要可视化操作的场景。</w:t>
      </w:r>
    </w:p>
    <w:p w14:paraId="1E1BF272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3.1.1 访问前准备与地址输入</w:t>
      </w:r>
    </w:p>
    <w:p w14:paraId="3130B31E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使用前需确保客户端设备与靶场服务器网络连通（可通过ping 192.168.1.100测试），并安装主流浏览器（Chrome 90+、Firefox 88+、Edge 90+）。</w:t>
      </w:r>
    </w:p>
    <w:p w14:paraId="3454461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打开浏览器，在地址栏准确输入靶场访问地址：内网环境输入“http://服务器内网IP:端口”（如http://192.168.1.100:8080）；公网环境输入域名（如https://minjiangyudun.com），按回车键发起访问。</w:t>
      </w:r>
    </w:p>
    <w:p w14:paraId="2012939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3.1.2 证书警告处理与登录</w:t>
      </w:r>
    </w:p>
    <w:p w14:paraId="03B3CAA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若靶场使用自签名证书（非生产环境常见），浏览器会弹出安全警告，此时需确认访问地址为靶场服务器（避免钓鱼网站），然后按以下步骤处理：</w:t>
      </w:r>
    </w:p>
    <w:p w14:paraId="23729CF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Chrome浏览器：点击警告页面中的“高级”→“继续前往192.168.1.100（不安全）”；Firefox浏览器：点击“高级”→“接受风险并继续”；Edge浏览器：点击“详细信息”→“继续访问”。</w:t>
      </w:r>
    </w:p>
    <w:p w14:paraId="7EFBCAC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进入登录页面后，输入账号（如user01）和密码（如User@123456），点击“登录”按钮：若账号密码正确，进入Web管理界面；若错误，提示“用户名或密码错误”，需重新输入。</w:t>
      </w:r>
    </w:p>
    <w:p w14:paraId="1CA000F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3.1.3 核心功能使用详解</w:t>
      </w:r>
    </w:p>
    <w:p w14:paraId="41523CE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场景创建与启动：</w:t>
      </w:r>
    </w:p>
    <w:p w14:paraId="0AF65736" w14:textId="77777777" w:rsidR="00060932" w:rsidRPr="00060932" w:rsidRDefault="00060932" w:rsidP="00060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在左侧菜单点击“场景管理”→“场景列表”，点击“+ 新建场景”按钮；</w:t>
      </w:r>
    </w:p>
    <w:p w14:paraId="277C736F" w14:textId="77777777" w:rsidR="00060932" w:rsidRPr="00060932" w:rsidRDefault="00060932" w:rsidP="00060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在弹出的“场景配置”窗口，选择模板（如“物联网设备安全测试”）；</w:t>
      </w:r>
    </w:p>
    <w:p w14:paraId="6C65215E" w14:textId="77777777" w:rsidR="00060932" w:rsidRPr="00060932" w:rsidRDefault="00060932" w:rsidP="00060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设置参数：靶机数量设为5台，操作系统选择“Ubuntu 20.04（物联网版）”，漏洞类型勾选“弱口令”“命令注入”；</w:t>
      </w:r>
    </w:p>
    <w:p w14:paraId="7EBE0E41" w14:textId="77777777" w:rsidR="00060932" w:rsidRPr="00060932" w:rsidRDefault="00060932" w:rsidP="00060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点击“下一步”，设置演练时长（如2小时）、是否启用自动防御（勾选“是”）；</w:t>
      </w:r>
    </w:p>
    <w:p w14:paraId="5C35BE3C" w14:textId="77777777" w:rsidR="00060932" w:rsidRPr="00060932" w:rsidRDefault="00060932" w:rsidP="0006093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点击“创建并启动”，系统开始部署靶机，页面显示“部署中（1/5）”，完成后状态变为“运行中”。</w:t>
      </w:r>
    </w:p>
    <w:p w14:paraId="14CFEFE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演练监控与操作：</w:t>
      </w:r>
    </w:p>
    <w:p w14:paraId="0833E856" w14:textId="77777777" w:rsidR="00060932" w:rsidRPr="00060932" w:rsidRDefault="00060932" w:rsidP="00060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进入“演练管理”→“当前演练”，选择目标场景，点击“监控”；</w:t>
      </w:r>
    </w:p>
    <w:p w14:paraId="4A64D62D" w14:textId="77777777" w:rsidR="00060932" w:rsidRPr="00060932" w:rsidRDefault="00060932" w:rsidP="00060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在监控页面，左侧为靶机列表（显示IP、漏洞状态），右侧为实时日志（如“攻击AGENT对192.168.2.10发起弱口令爆破，成功”）；</w:t>
      </w:r>
    </w:p>
    <w:p w14:paraId="19795943" w14:textId="77777777" w:rsidR="00060932" w:rsidRPr="00060932" w:rsidRDefault="00060932" w:rsidP="00060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点击某台靶机的“详情”，可查看其CPU使用率、网络连接、进程列表等信息；</w:t>
      </w:r>
    </w:p>
    <w:p w14:paraId="5F621BCE" w14:textId="77777777" w:rsidR="00060932" w:rsidRPr="00060932" w:rsidRDefault="00060932" w:rsidP="0006093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若需手动干预，点击“防御操作”→“添加防火墙规则”，输入攻击源IP（如192.168.3.5），设置“阻断”，点击“确认”生效。</w:t>
      </w:r>
    </w:p>
    <w:p w14:paraId="51D19E1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结果分析与报告导出：</w:t>
      </w:r>
    </w:p>
    <w:p w14:paraId="71AA42D9" w14:textId="77777777" w:rsidR="00060932" w:rsidRPr="00060932" w:rsidRDefault="00060932" w:rsidP="00060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演练结束后，点击“场景管理”→“历史场景”，选择目标场景，点击“生成报告”；</w:t>
      </w:r>
    </w:p>
    <w:p w14:paraId="2BD37A04" w14:textId="77777777" w:rsidR="00060932" w:rsidRPr="00060932" w:rsidRDefault="00060932" w:rsidP="00060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报告包含攻击成功率、防御有效率、漏洞分布统计等数据，支持图表展示（如漏洞类型饼图）；</w:t>
      </w:r>
    </w:p>
    <w:p w14:paraId="6AFCB69B" w14:textId="77777777" w:rsidR="00060932" w:rsidRPr="00060932" w:rsidRDefault="00060932" w:rsidP="0006093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点击“导出报告”，可选择PDF或Excel格式，保存至本地用于分析或分享。</w:t>
      </w:r>
    </w:p>
    <w:p w14:paraId="7BF63943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3.2 API接口使用方法</w:t>
      </w:r>
    </w:p>
    <w:p w14:paraId="2FFFC13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API接口适合需要自动化集成的场景（如批量创建场景、与CI/CD流程结合），通过编程实现靶场操作，提升效率。</w:t>
      </w:r>
    </w:p>
    <w:p w14:paraId="01A3466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3.2.1 API调用基础配置</w:t>
      </w:r>
    </w:p>
    <w:p w14:paraId="6FD0897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在编程环境中（如Python、Java），需配置API基础参数：访问地址（如http://192.168.1.100:8080/api）、API密钥（放入请求头Authorization字段，格式为“Bearer 密钥值”）、请求格式（JSON）。</w:t>
      </w:r>
    </w:p>
    <w:p w14:paraId="2E36DFA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以Python为例，基础调用框架如下：</w:t>
      </w:r>
    </w:p>
    <w:p w14:paraId="0A2F79F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requests</w:t>
      </w:r>
    </w:p>
    <w:p w14:paraId="5A66C03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import json</w:t>
      </w:r>
    </w:p>
    <w:p w14:paraId="32E8BC6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590544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BASE_URL = "http://192.168.1.100:8080/api"</w:t>
      </w:r>
    </w:p>
    <w:p w14:paraId="2CFEA6C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API_KEY = "sk_8a3b7c9d0e1f2g3h4i5j6k7l8m9n0o"</w:t>
      </w:r>
    </w:p>
    <w:p w14:paraId="4050D87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788E161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def api_request(method, path, data=None):</w:t>
      </w:r>
    </w:p>
    <w:p w14:paraId="7DF252A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url = f"{BASE_URL}{path}"</w:t>
      </w:r>
    </w:p>
    <w:p w14:paraId="545A033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headers = {</w:t>
      </w:r>
    </w:p>
    <w:p w14:paraId="1C3A75D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"Authorization": f"Bearer {API_KEY}",</w:t>
      </w:r>
    </w:p>
    <w:p w14:paraId="09C8055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"Content-Type": "application/json"</w:t>
      </w:r>
    </w:p>
    <w:p w14:paraId="59827A1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</w:t>
      </w:r>
    </w:p>
    <w:p w14:paraId="7D9335E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if method == "GET":</w:t>
      </w:r>
    </w:p>
    <w:p w14:paraId="13888FF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response = requests.get(url, headers=headers, params=data)</w:t>
      </w:r>
    </w:p>
    <w:p w14:paraId="790748C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elif method == "POST":</w:t>
      </w:r>
    </w:p>
    <w:p w14:paraId="2780AD0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 xml:space="preserve">        response = requests.post(url, headers=headers, data=json.dumps(data))</w:t>
      </w:r>
    </w:p>
    <w:p w14:paraId="0E7B97A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return response</w:t>
      </w:r>
    </w:p>
    <w:p w14:paraId="3674AF0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</w:t>
      </w:r>
    </w:p>
    <w:p w14:paraId="356BEB4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3.2.2 自动化场景管理示例</w:t>
      </w:r>
    </w:p>
    <w:p w14:paraId="082DB1B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以下代码实现批量创建3个不同场景，并查询其状态：</w:t>
      </w:r>
    </w:p>
    <w:p w14:paraId="5C06EEA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批量创建场景</w:t>
      </w:r>
    </w:p>
    <w:p w14:paraId="10FD5EB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scenes = [</w:t>
      </w:r>
    </w:p>
    <w:p w14:paraId="6327969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{</w:t>
      </w:r>
    </w:p>
    <w:p w14:paraId="00C88E8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"template_name": "企业办公网络安全演练",</w:t>
      </w:r>
    </w:p>
    <w:p w14:paraId="29106D9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"target_number": 5,</w:t>
      </w:r>
    </w:p>
    <w:p w14:paraId="76491B8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"vulnerability_type": ["SQL注入", "XSS攻击"]</w:t>
      </w:r>
    </w:p>
    <w:p w14:paraId="6DB3434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},</w:t>
      </w:r>
    </w:p>
    <w:p w14:paraId="1128184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{</w:t>
      </w:r>
    </w:p>
    <w:p w14:paraId="4A37A1B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"template_name": "工业控制系统演练",</w:t>
      </w:r>
    </w:p>
    <w:p w14:paraId="534418D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"target_number": 3,</w:t>
      </w:r>
    </w:p>
    <w:p w14:paraId="7678BEE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"vulnerability_type": ["缓冲区溢出", "协议漏洞"]</w:t>
      </w:r>
    </w:p>
    <w:p w14:paraId="11406782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},</w:t>
      </w:r>
    </w:p>
    <w:p w14:paraId="6ECF938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{</w:t>
      </w:r>
    </w:p>
    <w:p w14:paraId="2C5CAAA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"template_name": "移动应用安全测试",</w:t>
      </w:r>
    </w:p>
    <w:p w14:paraId="7A0C342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"target_number": 4,</w:t>
      </w:r>
    </w:p>
    <w:p w14:paraId="413A2B7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"vulnerability_type": ["API漏洞", "本地存储泄露"]</w:t>
      </w:r>
    </w:p>
    <w:p w14:paraId="6FA33A6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</w:t>
      </w:r>
    </w:p>
    <w:p w14:paraId="6404025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]</w:t>
      </w:r>
    </w:p>
    <w:p w14:paraId="08D9BE2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460F17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scene_ids = []</w:t>
      </w:r>
    </w:p>
    <w:p w14:paraId="361CB33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for scene in scenes:</w:t>
      </w:r>
    </w:p>
    <w:p w14:paraId="0613C29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response = api_request("POST", "/scenes", scene)</w:t>
      </w:r>
    </w:p>
    <w:p w14:paraId="3F1CAF2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if response.status_code == 200:</w:t>
      </w:r>
    </w:p>
    <w:p w14:paraId="4A789A5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scene_ids.append(response.json()["scene_id"])</w:t>
      </w:r>
    </w:p>
    <w:p w14:paraId="0FC63C1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print(f"场景创建成功：{scene['template_name']}，ID：{scene_ids[-1]}")</w:t>
      </w:r>
    </w:p>
    <w:p w14:paraId="42FC56E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else:</w:t>
      </w:r>
    </w:p>
    <w:p w14:paraId="659EFB9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print(f"场景创建失败：{scene['template_name']}，错误：{response.text}")</w:t>
      </w:r>
    </w:p>
    <w:p w14:paraId="1F26AC9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9B8FE4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查询场景状态</w:t>
      </w:r>
    </w:p>
    <w:p w14:paraId="3900555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for scene_id in scene_ids:</w:t>
      </w:r>
    </w:p>
    <w:p w14:paraId="5CD7D3F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response = api_request("GET", f"/scenes/{scene_id}")</w:t>
      </w:r>
    </w:p>
    <w:p w14:paraId="5EEC466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if response.status_code == 200:</w:t>
      </w:r>
    </w:p>
    <w:p w14:paraId="2955F82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status = response.json()["status"]</w:t>
      </w:r>
    </w:p>
    <w:p w14:paraId="621D80A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print(f"场景 {scene_id} 状态：{status}")</w:t>
      </w:r>
    </w:p>
    <w:p w14:paraId="20DD5F0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 xml:space="preserve">    </w:t>
      </w:r>
    </w:p>
    <w:p w14:paraId="6792AF7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3.2.3 攻击防御自动化示例</w:t>
      </w:r>
    </w:p>
    <w:p w14:paraId="0163072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以下代码实现对指定场景发起攻击，并根据攻击结果动态调整防御策略：</w:t>
      </w:r>
    </w:p>
    <w:p w14:paraId="4F156A1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发起攻击任务</w:t>
      </w:r>
    </w:p>
    <w:p w14:paraId="0393937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def start_attack(scene_id, target_ip, attack_type):</w:t>
      </w:r>
    </w:p>
    <w:p w14:paraId="4F8C96B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data = {</w:t>
      </w:r>
    </w:p>
    <w:p w14:paraId="5F7DDE1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"scene_id": scene_id,</w:t>
      </w:r>
    </w:p>
    <w:p w14:paraId="7ABCFCE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"target_ip": target_ip,</w:t>
      </w:r>
    </w:p>
    <w:p w14:paraId="3F3E214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"attack_type": attack_type,</w:t>
      </w:r>
    </w:p>
    <w:p w14:paraId="4D8E621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"attack_params": {"timeout": 30}  # 攻击超时时间30秒</w:t>
      </w:r>
    </w:p>
    <w:p w14:paraId="6A564EB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</w:t>
      </w:r>
    </w:p>
    <w:p w14:paraId="0C16C96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response = api_request("POST", "/attacks", data)</w:t>
      </w:r>
    </w:p>
    <w:p w14:paraId="613A399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return response.json() if response.status_code == 200 else None</w:t>
      </w:r>
    </w:p>
    <w:p w14:paraId="11C0D57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2DC8F345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调整防御策略</w:t>
      </w:r>
    </w:p>
    <w:p w14:paraId="11295FC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def adjust_defense(scene_id, attack_source_ip):</w:t>
      </w:r>
    </w:p>
    <w:p w14:paraId="7B4C3A9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data = {</w:t>
      </w:r>
    </w:p>
    <w:p w14:paraId="3670C93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"scene_id": scene_id,</w:t>
      </w:r>
    </w:p>
    <w:p w14:paraId="1FE4F1EB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"action": "block",  # 阻断动作</w:t>
      </w:r>
    </w:p>
    <w:p w14:paraId="2D21862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"source_ip": attack_source_ip,</w:t>
      </w:r>
    </w:p>
    <w:p w14:paraId="7A2498CD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"duration": 3600  # 阻断1小时（秒）</w:t>
      </w:r>
    </w:p>
    <w:p w14:paraId="6906DC5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}</w:t>
      </w:r>
    </w:p>
    <w:p w14:paraId="4740F191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response = api_request("POST", "/defenses/strategy", data)</w:t>
      </w:r>
    </w:p>
    <w:p w14:paraId="2180255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return response.status_code == 200</w:t>
      </w:r>
    </w:p>
    <w:p w14:paraId="4C253007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49B069F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# 执行流程</w:t>
      </w:r>
    </w:p>
    <w:p w14:paraId="0FDCFD86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scene_id = "scene_123456"</w:t>
      </w:r>
    </w:p>
    <w:p w14:paraId="2BF6AF49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target_ip = "192.168.2.10"</w:t>
      </w:r>
    </w:p>
    <w:p w14:paraId="31AF407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attack_result = start_attack(scene_id, target_ip, "SQL注入")</w:t>
      </w:r>
    </w:p>
    <w:p w14:paraId="2B47D604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14:paraId="7DEA1C4F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if attack_result and attack_result["success"]:</w:t>
      </w:r>
    </w:p>
    <w:p w14:paraId="194D0022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print(f"攻击成功，攻击源IP：{attack_result['source_ip']}")</w:t>
      </w:r>
    </w:p>
    <w:p w14:paraId="3A0ACE60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# 阻断攻击源</w:t>
      </w:r>
    </w:p>
    <w:p w14:paraId="4B9C114A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if adjust_defense(scene_id, attack_result["source_ip"]):</w:t>
      </w:r>
    </w:p>
    <w:p w14:paraId="3D502A9C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print("防御策略调整成功，已阻断攻击源")</w:t>
      </w:r>
    </w:p>
    <w:p w14:paraId="477F7DA2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else:</w:t>
      </w:r>
    </w:p>
    <w:p w14:paraId="01039D5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    print("防御策略调整失败")</w:t>
      </w:r>
    </w:p>
    <w:p w14:paraId="02B73B18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else:</w:t>
      </w:r>
    </w:p>
    <w:p w14:paraId="4A62B533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print("攻击失败或超时")</w:t>
      </w:r>
    </w:p>
    <w:p w14:paraId="47CE54AE" w14:textId="77777777" w:rsidR="00060932" w:rsidRPr="00060932" w:rsidRDefault="00060932" w:rsidP="0006093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 xml:space="preserve">    </w:t>
      </w:r>
    </w:p>
    <w:p w14:paraId="51937F10" w14:textId="77777777" w:rsidR="00060932" w:rsidRPr="00060932" w:rsidRDefault="00060932" w:rsidP="00060932">
      <w:pPr>
        <w:widowControl/>
        <w:pBdr>
          <w:left w:val="single" w:sz="24" w:space="8" w:color="3498DB"/>
        </w:pBdr>
        <w:spacing w:before="480" w:after="100" w:afterAutospacing="1"/>
        <w:jc w:val="left"/>
        <w:outlineLvl w:val="1"/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36"/>
          <w:szCs w:val="36"/>
        </w:rPr>
        <w:lastRenderedPageBreak/>
        <w:t>四、部署注意事项与常见问题解决</w:t>
      </w:r>
    </w:p>
    <w:p w14:paraId="227E593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靶场部署过程涉及多类技术组件，需注意硬件兼容性、网络配置、安全策略等关键环节，以下总结常见问题及解决方法。</w:t>
      </w:r>
    </w:p>
    <w:p w14:paraId="643142A2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4.1 Openstack部署注意事项与问题解决</w:t>
      </w:r>
    </w:p>
    <w:p w14:paraId="50D62EC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4.1.1 部署前注意事项</w:t>
      </w:r>
    </w:p>
    <w:p w14:paraId="43CD275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硬件兼容性：提前通过OpenStack官方硬件兼容性列表（HCL）检查服务器型号、网卡、存储设备是否支持，避免使用小众硬件导致驱动问题。</w:t>
      </w:r>
    </w:p>
    <w:p w14:paraId="306A098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网络规划：明确管理网（用于组件通信）、租户网（用于靶机网络）、外部网（用于外部访问）的IP段划分，禁用防火墙（如ufw、firewalld）或开放必要端口（如Keystone的5000端口、Nova的8774端口）。</w:t>
      </w:r>
    </w:p>
    <w:p w14:paraId="6EFCFF6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时间同步：所有节点通过NTP服务（如chrony）同步时间，避免因时间偏差导致组件认证失败（执行timedatectl set-ntp yes启用时间同步）。</w:t>
      </w:r>
    </w:p>
    <w:p w14:paraId="7ADEC71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4.1.2 常见问题及解决</w:t>
      </w:r>
    </w:p>
    <w:p w14:paraId="4F88B1DE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问题1：Nova服务启动失败，日志显示“无法连接到数据库”。</w:t>
      </w:r>
    </w:p>
    <w:p w14:paraId="4A1C7CDF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解决：检查/etc/nova/nova.conf中[database]部分的连接参数（如connection=mysql+pymysql://nova:nova_db_password@controller/nova），确保MySQL服务正常运行（systemctl status mysql），且数据库用户权限正确（执行GRANT ALL PRIVILEGES ON nova.* TO 'nova'@'localhost' IDENTIFIED BY 'nova_db_password';）。</w:t>
      </w:r>
    </w:p>
    <w:p w14:paraId="41EF4E1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问题2：Neutron网络无法创建，提示“没有可用的物理网络”。</w:t>
      </w:r>
    </w:p>
    <w:p w14:paraId="149331A8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解决：检查/etc/neutron/plugins/ml2/ml2_conf.ini中[ml2_type_flat]的flat_networks参数（如flat_networks=provider），确保与/etc/neutron/plugins/ml2/linuxbridge_agent.ini中[linux_bridge]的physical_interface_mappings参数（如provider:ens33）一致，且物理网卡ens33存在（ip addr show验证）。</w:t>
      </w:r>
    </w:p>
    <w:p w14:paraId="6DE4AC15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4.2 K8S部署注意事项与问题解决</w:t>
      </w:r>
    </w:p>
    <w:p w14:paraId="78AA885A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4.2.1 部署前注意事项</w:t>
      </w:r>
    </w:p>
    <w:p w14:paraId="413DE61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lastRenderedPageBreak/>
        <w:t>1. 系统一致性：所有节点使用相同操作系统版本（如Ubuntu 20.04），内核版本≥5.4，禁用Swap分区（swapoff -a，并在/etc/fstab中注释Swap条目）。</w:t>
      </w:r>
    </w:p>
    <w:p w14:paraId="7EB11B3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网络配置：确保节点间网络互通（尤其是6443端口，K8S API通信），关闭SELinux（setenforce 0），配置内核参数（如net.bridge.bridge-nf-call-iptables=1）。</w:t>
      </w:r>
    </w:p>
    <w:p w14:paraId="6B6E919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镜像源：由于K8S镜像默认拉取自国外仓库，建议配置国内镜像源（如阿里云），执行kubeadm config images pull --image-repository registry.aliyuncs.com/google_containers预拉取镜像。</w:t>
      </w:r>
    </w:p>
    <w:p w14:paraId="0BD3D13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4.2.2 常见问题及解决</w:t>
      </w:r>
    </w:p>
    <w:p w14:paraId="580E7EA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问题1：工作节点执行kubeadm join失败，提示“connection refused”。</w:t>
      </w:r>
    </w:p>
    <w:p w14:paraId="3F1DABA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解决：检查主节点API Server是否正常运行（kubectl get pods -n kube-system，确保kube-apiserver-xxx状态为Running）；确认主节点6443端口开放（netstat -tlnp | grep 6443）；检查工作节点与主节点的网络连通性（telnet 主节点IP 6443）。</w:t>
      </w:r>
    </w:p>
    <w:p w14:paraId="704FF1F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问题2：Pod状态为Pending，事件显示“no nodes available to schedule pods”。</w:t>
      </w:r>
    </w:p>
    <w:p w14:paraId="4602CD66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解决：检查节点是否被标记为不可调度（kubectl get nodes，STATUS应为Ready）；若节点状态为NotReady，查看kubelet日志（journalctl -u kubelet），常见原因是容器运行时（Docker）未启动（systemctl start docker）或网络插件未部署（需先部署Calico等插件）。</w:t>
      </w:r>
    </w:p>
    <w:p w14:paraId="44029BE7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4.3 大模型部署与配置注意事项</w:t>
      </w:r>
    </w:p>
    <w:p w14:paraId="3323B59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4.3.1 本地模型（Qwen-32B）部署注意事项</w:t>
      </w:r>
    </w:p>
    <w:p w14:paraId="7BFA8FC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硬件要求：Qwen-32B模型推理需至少16GB GPU显存（推荐单卡32GB或多卡分布式推理），确保GPU驱动与CUDA版本兼容（如GPU驱动470.57.02对应CUDA 11.7）。</w:t>
      </w:r>
    </w:p>
    <w:p w14:paraId="566A1C3B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模型文件：从官方渠道下载模型权重，校验文件哈希值（如SHA256）避免文件损坏；模型文件较大（约60GB），需确保存储节点有足够空间，下载时使用断点续传工具（如wget -c）。</w:t>
      </w:r>
    </w:p>
    <w:p w14:paraId="3FC9EEF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性能优化：推理速度过慢时，可启用模型量化（如INT8量化，需Transformers库支持），或调整batch_size（建议1-2）减少显存占用；通过nvidia-smi监控GPU利用率，若低于50%，可增加并发请求数。</w:t>
      </w:r>
    </w:p>
    <w:p w14:paraId="40E0F995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lastRenderedPageBreak/>
        <w:t>4.3.2 线上模型（Deepseek）配置注意事项</w:t>
      </w:r>
    </w:p>
    <w:p w14:paraId="11D3950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API密钥安全：避免在代码中硬编码API密钥，建议使用环境变量（如export DEEPSEEK_API_KEY="your_key"）或配置文件（权限设为600）存储；定期轮换密钥（在官方平台操作）。</w:t>
      </w:r>
    </w:p>
    <w:p w14:paraId="7D092DD1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调用限制：了解API的调用频率限制（如每分钟60次），避免触发限流；添加请求重试机制（如使用tenacity库），处理临时网络错误。</w:t>
      </w:r>
    </w:p>
    <w:p w14:paraId="642FA9E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数据处理：向线上模型发送的数据避免包含敏感信息（如靶场内部IP、用户密码），如需发送日志，先脱敏处理（替换敏感字段为***）。</w:t>
      </w:r>
    </w:p>
    <w:p w14:paraId="1396E4CF" w14:textId="77777777" w:rsidR="00060932" w:rsidRPr="00060932" w:rsidRDefault="00060932" w:rsidP="00060932">
      <w:pPr>
        <w:widowControl/>
        <w:spacing w:before="360" w:after="100" w:afterAutospacing="1"/>
        <w:jc w:val="left"/>
        <w:outlineLvl w:val="2"/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</w:pPr>
      <w:r w:rsidRPr="00060932">
        <w:rPr>
          <w:rFonts w:ascii="宋体" w:eastAsia="宋体" w:hAnsi="宋体" w:cs="宋体"/>
          <w:b/>
          <w:bCs/>
          <w:color w:val="2C3E50"/>
          <w:kern w:val="0"/>
          <w:sz w:val="27"/>
          <w:szCs w:val="27"/>
        </w:rPr>
        <w:t>4.4 网络与安全配置注意事项</w:t>
      </w:r>
    </w:p>
    <w:p w14:paraId="1ED48868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4.4.1 网络拓扑与防火墙配置</w:t>
      </w:r>
    </w:p>
    <w:p w14:paraId="5A81C1E4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网络隔离：将靶场网络划分为管理区（主控节点、存储节点）、靶机区（演练用靶机）、外部访问区，通过VLAN或防火墙规则限制区域间通信（如禁止靶机区直接访问管理区）。</w:t>
      </w:r>
    </w:p>
    <w:p w14:paraId="3EF825F0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端口开放原则：仅开放必要端口（如Web服务8080、SSH 22），关闭所有非必要端口（如数据库3306仅允许管理区访问）；防火墙规则遵循“白名单”机制，仅允许指定IP访问。</w:t>
      </w:r>
    </w:p>
    <w:p w14:paraId="50D4476C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网络监控：部署网络流量监控工具（如Zabbix、Prometheus+Grafana），实时监控带宽使用、异常连接（如大量来自同一IP的连接请求），及时发现网络攻击。</w:t>
      </w:r>
    </w:p>
    <w:p w14:paraId="6B238C69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60932">
        <w:rPr>
          <w:rFonts w:ascii="宋体" w:eastAsia="宋体" w:hAnsi="宋体" w:cs="宋体"/>
          <w:b/>
          <w:bCs/>
          <w:kern w:val="0"/>
          <w:sz w:val="24"/>
        </w:rPr>
        <w:t>4.4.2 系统安全配置</w:t>
      </w:r>
    </w:p>
    <w:p w14:paraId="4DCE79ED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1. 系统补丁：定期更新操作系统与软件组件的安全补丁（Ubuntu使用apt update &amp;&amp; apt upgrade -y，CentOS使用yum update -y），修复已知漏洞。</w:t>
      </w:r>
    </w:p>
    <w:p w14:paraId="05285497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2. 用户权限：遵循最小权限原则，普通用户禁用sudo权限；管理员账号使用强密码（包含大小写字母、数字、特殊字符，长度≥12位），定期更换（如每90天）。</w:t>
      </w:r>
    </w:p>
    <w:p w14:paraId="7741D003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3. 数据加密：敏感数据（如用户密码、API密钥）存储时采用AES-256加密；数据传输使用SSL/TLS（配置Let's Encrypt免费证书，替换自签名证书）。</w:t>
      </w:r>
    </w:p>
    <w:p w14:paraId="32D5F4E8" w14:textId="77777777" w:rsidR="00060932" w:rsidRPr="00060932" w:rsidRDefault="00060932" w:rsidP="0006093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0932">
        <w:rPr>
          <w:rFonts w:ascii="宋体" w:eastAsia="宋体" w:hAnsi="宋体" w:cs="宋体"/>
          <w:kern w:val="0"/>
          <w:sz w:val="24"/>
        </w:rPr>
        <w:t>4. 日志审计：开启系统日志（/var/log/secure记录登录日志）、应用日志（Openstack/K8S组件日志），通过Elasticsearch+Kibana分析日志，检测异常操作（如多次失败的SSH登录）。</w:t>
      </w:r>
    </w:p>
    <w:p w14:paraId="73E82075" w14:textId="77777777" w:rsidR="00FD0700" w:rsidRDefault="00FD0700"/>
    <w:sectPr w:rsidR="00FD0700" w:rsidSect="00F266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50AA"/>
    <w:multiLevelType w:val="multilevel"/>
    <w:tmpl w:val="BF34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7724E"/>
    <w:multiLevelType w:val="multilevel"/>
    <w:tmpl w:val="F5D8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84161"/>
    <w:multiLevelType w:val="multilevel"/>
    <w:tmpl w:val="DCE6E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817447">
    <w:abstractNumId w:val="0"/>
  </w:num>
  <w:num w:numId="2" w16cid:durableId="1228881420">
    <w:abstractNumId w:val="1"/>
  </w:num>
  <w:num w:numId="3" w16cid:durableId="2063820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32"/>
    <w:rsid w:val="00060932"/>
    <w:rsid w:val="00131231"/>
    <w:rsid w:val="001626D5"/>
    <w:rsid w:val="001D53FF"/>
    <w:rsid w:val="004009D3"/>
    <w:rsid w:val="00572DFF"/>
    <w:rsid w:val="005E0256"/>
    <w:rsid w:val="00792E04"/>
    <w:rsid w:val="007D4883"/>
    <w:rsid w:val="0081466B"/>
    <w:rsid w:val="00915106"/>
    <w:rsid w:val="009558C4"/>
    <w:rsid w:val="009B25C4"/>
    <w:rsid w:val="00B512E6"/>
    <w:rsid w:val="00B62CDD"/>
    <w:rsid w:val="00F20722"/>
    <w:rsid w:val="00F26609"/>
    <w:rsid w:val="00FD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5F69A"/>
  <w15:chartTrackingRefBased/>
  <w15:docId w15:val="{58423677-EFC8-3E45-BF63-320D486D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B62CDD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09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093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93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93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9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9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9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CDD"/>
    <w:rPr>
      <w:rFonts w:asciiTheme="majorHAnsi" w:eastAsia="黑体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6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6093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93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093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9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9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9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9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9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9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9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9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9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9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93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09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060932"/>
    <w:rPr>
      <w:b/>
      <w:bCs/>
    </w:rPr>
  </w:style>
  <w:style w:type="character" w:styleId="HTML">
    <w:name w:val="HTML Code"/>
    <w:basedOn w:val="a0"/>
    <w:uiPriority w:val="99"/>
    <w:semiHidden/>
    <w:unhideWhenUsed/>
    <w:rsid w:val="0006093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6093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60932"/>
    <w:rPr>
      <w:rFonts w:ascii="宋体" w:eastAsia="宋体" w:hAnsi="宋体" w:cs="宋体"/>
      <w:kern w:val="0"/>
      <w:sz w:val="24"/>
    </w:rPr>
  </w:style>
  <w:style w:type="character" w:styleId="af0">
    <w:name w:val="Emphasis"/>
    <w:basedOn w:val="a0"/>
    <w:uiPriority w:val="20"/>
    <w:qFormat/>
    <w:rsid w:val="00060932"/>
    <w:rPr>
      <w:i/>
      <w:iCs/>
    </w:rPr>
  </w:style>
  <w:style w:type="character" w:customStyle="1" w:styleId="semi-button-content-right">
    <w:name w:val="semi-button-content-right"/>
    <w:basedOn w:val="a0"/>
    <w:rsid w:val="00060932"/>
  </w:style>
  <w:style w:type="character" w:customStyle="1" w:styleId="undefined">
    <w:name w:val="undefined"/>
    <w:basedOn w:val="a0"/>
    <w:rsid w:val="00060932"/>
  </w:style>
  <w:style w:type="table" w:styleId="31">
    <w:name w:val="Plain Table 3"/>
    <w:basedOn w:val="a1"/>
    <w:uiPriority w:val="43"/>
    <w:rsid w:val="0013123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rsid w:val="001312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2648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308782620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2045668560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36666506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71496623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51696178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59738189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734888914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928150042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575117238">
          <w:marLeft w:val="0"/>
          <w:marRight w:val="0"/>
          <w:marTop w:val="300"/>
          <w:marBottom w:val="300"/>
          <w:divBdr>
            <w:top w:val="dashed" w:sz="6" w:space="15" w:color="999999"/>
            <w:left w:val="dashed" w:sz="6" w:space="15" w:color="999999"/>
            <w:bottom w:val="dashed" w:sz="6" w:space="15" w:color="999999"/>
            <w:right w:val="dashed" w:sz="6" w:space="15" w:color="999999"/>
          </w:divBdr>
        </w:div>
        <w:div w:id="11706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9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14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4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81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8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75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80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6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2290</Words>
  <Characters>13057</Characters>
  <Application>Microsoft Office Word</Application>
  <DocSecurity>0</DocSecurity>
  <Lines>108</Lines>
  <Paragraphs>30</Paragraphs>
  <ScaleCrop>false</ScaleCrop>
  <Company/>
  <LinksUpToDate>false</LinksUpToDate>
  <CharactersWithSpaces>15317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景熠 王</dc:creator>
  <cp:keywords/>
  <dc:description/>
  <cp:lastModifiedBy>景熠 王</cp:lastModifiedBy>
  <cp:revision>2</cp:revision>
  <dcterms:created xsi:type="dcterms:W3CDTF">2025-08-14T09:31:00Z</dcterms:created>
  <dcterms:modified xsi:type="dcterms:W3CDTF">2025-08-14T09:31:00Z</dcterms:modified>
</cp:coreProperties>
</file>