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宋体"/>
          <w:b/>
          <w:color w:val="6C2BD9"/>
          <w:sz w:val="26"/>
        </w:rPr>
        <w:t>闽江大学 · 芒得很职</w:t>
      </w:r>
    </w:p>
    <w:p>
      <w:pPr>
        <w:jc w:val="center"/>
      </w:pPr>
      <w:r>
        <w:rPr>
          <w:rFonts w:ascii="Calibri" w:hAnsi="Calibri" w:eastAsia="宋体"/>
          <w:b/>
          <w:color w:val="1A1A2E"/>
          <w:sz w:val="52"/>
        </w:rPr>
        <w:t>概要设计说明书</w:t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21"/>
        </w:rPr>
        <w:t>计算机类学生职业素养对抗实训平台</w:t>
      </w:r>
    </w:p>
    <w:p>
      <w:pPr>
        <w:jc w:val="center"/>
      </w:pPr>
      <w:r>
        <w:rPr>
          <w:rFonts w:ascii="Calibri" w:hAnsi="Calibri" w:eastAsia="宋体"/>
          <w:b w:val="0"/>
          <w:color w:val="6C2BD9"/>
          <w:sz w:val="22"/>
        </w:rPr>
        <w:t>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 w:eastAsia="宋体"/>
          <w:b w:val="0"/>
          <w:color w:val="1A1A2E"/>
          <w:sz w:val="21"/>
        </w:rPr>
        <w:t>闽江大学 · 计算机类学生职业素养对抗实训平台</w:t>
      </w:r>
    </w:p>
    <w:p/>
    <w:p>
      <w:pPr>
        <w:jc w:val="center"/>
      </w:pPr>
      <w:r>
        <w:rPr>
          <w:rFonts w:ascii="Calibri" w:hAnsi="Calibri" w:eastAsia="宋体"/>
          <w:b/>
          <w:color w:val="6C2BD9"/>
          <w:sz w:val="30"/>
        </w:rPr>
        <w:t>目  录</w:t>
      </w:r>
    </w:p>
    <w:p>
      <w:r>
        <w:rPr>
          <w:rFonts w:ascii="Calibri" w:hAnsi="Calibri" w:eastAsia="宋体"/>
          <w:color w:val="1A1A2E"/>
          <w:sz w:val="21"/>
        </w:rPr>
        <w:fldChar w:fldCharType="begin"/>
        <w:instrText xml:space="preserve">TOC \o "1-3" \h \z \u</w:instrText>
        <w:fldChar w:fldCharType="separate"/>
        <w:fldChar w:fldCharType="end"/>
      </w:r>
      <w:r>
        <w:rPr>
          <w:rFonts w:ascii="Calibri" w:hAnsi="Calibri" w:eastAsia="宋体"/>
          <w:color w:val="666666"/>
          <w:sz w:val="21"/>
        </w:rPr>
        <w:t>右键更新域可生成目录</w:t>
      </w:r>
    </w:p>
    <w:p/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 xml:space="preserve">依据国家标准 </w:t>
      </w:r>
      <w:r>
        <w:rPr>
          <w:rFonts w:ascii="Calibri" w:hAnsi="Calibri" w:eastAsia="宋体"/>
          <w:b/>
          <w:i w:val="0"/>
          <w:color w:val="666666"/>
          <w:sz w:val="20"/>
        </w:rPr>
        <w:t>GB 8567-88《计算机软件产品开发文件编制指南》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之"概要设计说明书"章节结构编写。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系统名称：</w:t>
      </w:r>
      <w:r>
        <w:rPr>
          <w:rFonts w:ascii="Calibri" w:hAnsi="Calibri" w:eastAsia="宋体"/>
          <w:b/>
          <w:i w:val="0"/>
          <w:color w:val="666666"/>
          <w:sz w:val="20"/>
        </w:rPr>
        <w:t>芒得很职 多智能体个性化学习系统（芒得很职）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版本：v1.0　编制日期：2026-07-22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1. 引言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1.1 编写目的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说明 芒得很职 系统的总体设计架构、模块划分、接口与运行设计，作为详细设计与编码的依据。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1.2 背景与范围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同《软件需求规格说明书》第 1.2 节。本文档覆盖后端多智能体编排、知识检索与可信校验、前端多模态呈现三大子系统。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1.3 参考资料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《软件需求规格说明书》《系统架构设计文档》《技术方案说明书》（同交付包）。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2. 总体设计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2.1 需求规定（摘要）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系统须实现：11 节点多智能体编排、7 类资源生成、跨 Agent 一致性 + 知识支撑度双重防幻觉、讯飞 10 能力多模态融合、408 四科知识图谱与学情画像、教师权限与配额限流。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2.2 运行环境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见《软件需求规格说明书》第 4 章。后端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:8002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，前端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:5173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2.3 基本设计概念与处理流程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采用</w:t>
      </w:r>
      <w:r>
        <w:rPr>
          <w:rFonts w:ascii="Calibri" w:hAnsi="Calibri" w:eastAsia="宋体"/>
          <w:b/>
          <w:i w:val="0"/>
          <w:color w:val="1A1A2E"/>
          <w:sz w:val="21"/>
        </w:rPr>
        <w:t>分层多智能体编排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思想：以 LangGraph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StateGraph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作为控制流中枢，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AgentState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贯穿全流程共享上下文（用户输入、画像、检索分块、生成产物、评估报告、视频文件等）。关键设计概念：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产物验收闸门（quality_gate）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：位于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evidence_check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之后，对不合格产物硬性阻断并触发重试，保证对外输出可被信。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冲突消解（conflict_engine）</w:t>
      </w:r>
      <w:r>
        <w:rPr>
          <w:rFonts w:ascii="Calibri" w:hAnsi="Calibri" w:eastAsia="宋体"/>
          <w:b w:val="0"/>
          <w:i w:val="0"/>
          <w:color w:val="1A1A2E"/>
          <w:sz w:val="21"/>
        </w:rPr>
        <w:t>：对 Agent 间事实冲突做自动裁决与回写。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降级优先（fail-soft）</w:t>
      </w:r>
      <w:r>
        <w:rPr>
          <w:rFonts w:ascii="Calibri" w:hAnsi="Calibri" w:eastAsia="宋体"/>
          <w:b w:val="0"/>
          <w:i w:val="0"/>
          <w:color w:val="1A1A2E"/>
          <w:sz w:val="21"/>
        </w:rPr>
        <w:t>：所有外部依赖（大模型、讯飞、向量库）均设兜底路径。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主处理流程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coordinator → diagnostician → planner → retriever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→ generator_cluster(7 并行子Agent) → assessor → critic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→ evidence_check(一致性 + grounding) → quality_gate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→ [PASS] path_planner → END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→ [FIX]  generator_cluster (重试)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2.4 系统结构（模块划分）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层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模块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关键文件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职责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编排层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agents/graph.py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create_agent_graph()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11 节点 StateGraph 装配与路由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智能体层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agents/*.py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coordinator / diagnostician / planner / retriever / generator_cluster / assessor / critic / evidence_check / quality_gate / path_planner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各节点业务逻辑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算法层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FrugalRAG(SFT+GRPO+ReAct)、GOMARL(NeuralMixer+冲突消解)、CARS 奖励塑形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检索增强与多智能体强化学习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知识层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db/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向量库抽象（InMemory/Milvus）、E5 嵌入、知识图谱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知识检索与图谱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能力层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db/xfyun_services.py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讯飞 10 能力封装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图片/视频/PPT/搜索/纠错等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接口层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FastAPI 路由（含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/api/xfyun/*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10 端点）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前后端通信、鉴权、限流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前端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src/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Vue3 视图 + 组件 + 设计系统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交互与多模态呈现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3. 接口设计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3.1 用户接口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聊天式主交互（ChatView）：流式输出、Markdown 渲染、思考气泡、打字光标。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资源中心（ResourceView）：7 类资源卡片化呈现，分色语义标识。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证据校验面板（EvidenceCheckPanel）：一致性评分、防幻觉置信度半圆仪表、冲突修正 diff、知识库溯源。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讯飞 AI 工坊（XfyunWorkshop）：10 能力入口。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3.2 外部接口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后端 → 大模型：星火 X2（首选）/ DeepSeek（兜底）HTTPS API。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后端 → 讯飞开放平台：10 项能力 HTTPS/WebSocket 接口。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后端 → 向量库：InMemory（numpy）/ Milvus（生产）。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3.3 内部接口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节点间通过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AgentState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（TypedDict）传递；路由函数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route_after_retriever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route_after_critic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决定分支。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前端 → 后端：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/api/*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REST/WebSocket，Vite 代理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 → :8002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4. 运行设计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4.1 运行模块组合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单进程后端（uvicorn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main:app --port 8002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，workers=1）；前端 Vite 开发或静态构建。文件锁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vectordb_data/.import_writer.lock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防止多实例写竞争。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4.2 运行控制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启动顺序：加载配置 → 加载向量库与 E5 → 挂载路由 → 监听。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重试控制：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regenerate_round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由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critic</w:t>
      </w:r>
      <w:r>
        <w:rPr>
          <w:rFonts w:ascii="Calibri" w:hAnsi="Calibri" w:eastAsia="宋体"/>
          <w:b w:val="0"/>
          <w:i w:val="0"/>
          <w:color w:val="1A1A2E"/>
          <w:sz w:val="21"/>
        </w:rPr>
        <w:t>/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retriever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自增，路由函数只读不写，避免无限循环。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视频外部轮询：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asyncio.wait_for(..., timeout=20)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包裹，超时降级。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4.3 运行时间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冷启动 ~30s；常规请求亚秒级（受大模型 API 延迟影响）。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数字人视频生成属异步长任务，主流程仅等待 ≤20s。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5. 系统数据结构设计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5.1 逻辑结构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AgentState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：贯穿全流程的共享上下文，含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messages / profile / retrieved_chunks / resources / evidence_report / video_file / grounding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等字段。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KnowledgeChunk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{text, embedding(768), group, source, score}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EvidenceReport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{status, consistency_score, confidence_score, total_conflicts, resolved, unresolved, conflicts[], corrections[], citations[], grounding_score, grounding_flagged, checked_agents[], course}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5.2 物理结构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向量库：开发期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InMemoryVectorStore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（numpy 矩阵）；生产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Milvus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集合（768 维 IVF 索引）。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知识图谱：26 个 group 节点 + 边关系，前后端编号一致。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5.3 数据结构与程序关系</w:t>
      </w:r>
    </w:p>
    <w:p>
      <w:pPr>
        <w:spacing w:before="80" w:after="80" w:line="276" w:lineRule="auto"/>
      </w:pPr>
      <w:r>
        <w:rPr>
          <w:rFonts w:ascii="Consolas" w:hAnsi="Consolas" w:eastAsia="Consolas"/>
          <w:b w:val="0"/>
          <w:i w:val="0"/>
          <w:color w:val="1A1A2E"/>
          <w:sz w:val="20"/>
        </w:rPr>
        <w:t>retriever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填充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retrieved_chunks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generator_cluster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消费并产出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resources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evidence_check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比对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retrieved_chunks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计算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grounding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quality_gate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依据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evidence_report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裁决。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6. 系统出错处理设计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6.1 出错信息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外部 API 超时/鉴权失败：记录结构化日志，触发降级。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幻觉检出：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EvidenceReport.grounding_flagged=true</w:t>
      </w:r>
      <w:r>
        <w:rPr>
          <w:rFonts w:ascii="Calibri" w:hAnsi="Calibri" w:eastAsia="宋体"/>
          <w:b w:val="0"/>
          <w:i w:val="0"/>
          <w:color w:val="1A1A2E"/>
          <w:sz w:val="21"/>
        </w:rPr>
        <w:t>，前端提示"检出疑似幻觉"。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安全事件：沙箱拦截、配额超限返回 429、密钥脱敏不出现在日志。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6.2 补救措施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大模型：星火 X2 → DeepSeek 兜底。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多模态：图片/视频/PPT 生成失败 → 降级提示，不阻塞主流程。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向量库：内存库缺失 → 走重建/降级。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6.3 系统维护设计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结构化日志 + Prometheus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/metrics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审计日志（AuditLogView）。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Docker 非 root 运行、配置版本化迁移、自动化测试回归。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