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A8428">
      <w:pPr>
        <w:spacing w:after="0"/>
      </w:pPr>
    </w:p>
    <w:p w14:paraId="2E39CE97">
      <w:pPr>
        <w:spacing w:after="0"/>
      </w:pPr>
    </w:p>
    <w:p w14:paraId="0F79650D">
      <w:pPr>
        <w:spacing w:after="0"/>
      </w:pPr>
    </w:p>
    <w:p w14:paraId="1E32DC9F">
      <w:pPr>
        <w:jc w:val="center"/>
      </w:pPr>
      <w:r>
        <w:rPr>
          <w:rFonts w:ascii="Calibri" w:hAnsi="Calibri" w:eastAsia="黑体"/>
          <w:b/>
          <w:i w:val="0"/>
          <w:color w:val="6C2BD9"/>
          <w:sz w:val="26"/>
        </w:rPr>
        <w:t>MARS-408 · 计算机408考研个性化学习多智能体系统</w:t>
      </w:r>
    </w:p>
    <w:p w14:paraId="023C787C">
      <w:pPr>
        <w:spacing w:before="480" w:after="160"/>
        <w:jc w:val="center"/>
      </w:pPr>
      <w:r>
        <w:rPr>
          <w:rFonts w:ascii="Calibri" w:hAnsi="Calibri" w:eastAsia="黑体"/>
          <w:b/>
          <w:i w:val="0"/>
          <w:color w:val="1A1A2E"/>
          <w:sz w:val="52"/>
        </w:rPr>
        <w:t>MARS-408 — 软件杯提交清单与录制指南</w:t>
      </w:r>
    </w:p>
    <w:p w14:paraId="11042AE7">
      <w:pPr>
        <w:spacing w:before="360"/>
        <w:jc w:val="center"/>
      </w:pPr>
      <w:r>
        <w:rPr>
          <w:rFonts w:ascii="Calibri" w:hAnsi="Calibri" w:eastAsia="宋体"/>
          <w:b w:val="0"/>
          <w:i w:val="0"/>
          <w:color w:val="666666"/>
          <w:sz w:val="21"/>
        </w:rPr>
        <w:t>中国软件杯 A3 赛题 · 基于大模型的个性化资源生成与学习多智能体系统开发</w:t>
      </w:r>
    </w:p>
    <w:p w14:paraId="2548CBFF">
      <w:pPr>
        <w:jc w:val="center"/>
      </w:pPr>
      <w:r>
        <w:rPr>
          <w:rFonts w:ascii="Calibri" w:hAnsi="Calibri" w:eastAsia="宋体"/>
          <w:b w:val="0"/>
          <w:i w:val="0"/>
          <w:color w:val="6C2BD9"/>
          <w:sz w:val="22"/>
        </w:rPr>
        <w:t>━━━━━━━━━━━━━━━━━━</w:t>
      </w:r>
    </w:p>
    <w:p w14:paraId="0F79DE0A">
      <w:pPr>
        <w:spacing w:before="240"/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文档版本：v2.0    日期：2026-07-20</w:t>
      </w:r>
    </w:p>
    <w:p w14:paraId="231A6CBA">
      <w:pPr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提交方：MARS-408 参赛团队    赛题组别：A 组</w:t>
      </w:r>
    </w:p>
    <w:p w14:paraId="18BA051F">
      <w:r>
        <w:br w:type="page"/>
      </w:r>
    </w:p>
    <w:p w14:paraId="51D90F0E">
      <w:pPr>
        <w:spacing w:after="160"/>
        <w:jc w:val="center"/>
      </w:pPr>
      <w:r>
        <w:rPr>
          <w:rFonts w:ascii="Calibri" w:hAnsi="Calibri" w:eastAsia="黑体"/>
          <w:b/>
          <w:i w:val="0"/>
          <w:color w:val="6C2BD9"/>
          <w:sz w:val="30"/>
        </w:rPr>
        <w:t>目  录</w:t>
      </w:r>
    </w:p>
    <w:p w14:paraId="6932F6B4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_Toc7448 </w:instrText>
      </w:r>
      <w:r>
        <w:fldChar w:fldCharType="separate"/>
      </w:r>
      <w:r>
        <w:t>一、软件杯提交材料清单（8 项）</w:t>
      </w:r>
      <w:r>
        <w:tab/>
      </w:r>
      <w:r>
        <w:fldChar w:fldCharType="begin"/>
      </w:r>
      <w:r>
        <w:instrText xml:space="preserve"> PAGEREF _Toc7448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338B0D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_Toc9229 </w:instrText>
      </w:r>
      <w:r>
        <w:fldChar w:fldCharType="separate"/>
      </w:r>
      <w:r>
        <w:t>二、本地启动命令（录制定稿前验证用）</w:t>
      </w:r>
      <w:r>
        <w:tab/>
      </w:r>
      <w:r>
        <w:fldChar w:fldCharType="begin"/>
      </w:r>
      <w:r>
        <w:instrText xml:space="preserve"> PAGEREF _Toc9229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6214D4C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_Toc899 </w:instrText>
      </w:r>
      <w:r>
        <w:fldChar w:fldCharType="separate"/>
      </w:r>
      <w:r>
        <w:t>三、录制指南（10 场景）</w:t>
      </w:r>
      <w:r>
        <w:tab/>
      </w:r>
      <w:r>
        <w:fldChar w:fldCharType="begin"/>
      </w:r>
      <w:r>
        <w:instrText xml:space="preserve"> PAGEREF _Toc899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7266853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_Toc26581 </w:instrText>
      </w:r>
      <w:r>
        <w:fldChar w:fldCharType="separate"/>
      </w:r>
      <w:r>
        <w:t>四、AI Coding 工具使用声明</w:t>
      </w:r>
      <w:r>
        <w:tab/>
      </w:r>
      <w:r>
        <w:fldChar w:fldCharType="begin"/>
      </w:r>
      <w:r>
        <w:instrText xml:space="preserve"> PAGEREF _Toc26581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52D41B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_Toc21428 </w:instrText>
      </w:r>
      <w:r>
        <w:fldChar w:fldCharType="separate"/>
      </w:r>
      <w:r>
        <w:t>五、故障排除</w:t>
      </w:r>
      <w:r>
        <w:tab/>
      </w:r>
      <w:r>
        <w:fldChar w:fldCharType="begin"/>
      </w:r>
      <w:r>
        <w:instrText xml:space="preserve"> PAGEREF _Toc21428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CB1DEE">
      <w:r>
        <w:fldChar w:fldCharType="end"/>
      </w:r>
    </w:p>
    <w:p w14:paraId="61472BA8">
      <w:r>
        <w:br w:type="page"/>
      </w:r>
    </w:p>
    <w:p w14:paraId="5C05508E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 xml:space="preserve">⚠️ 本文件为【重建版】。原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提交清单与录视频指南.md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在清文档时被误删（项目无 git 仓库、无副本可恢复），此处依据项目记忆与尚存文档重建。如你手上有原始版本，请直接覆盖本文件。</w:t>
      </w:r>
    </w:p>
    <w:p w14:paraId="3A7EF4C8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/>
          <w:i w:val="0"/>
          <w:color w:val="666666"/>
          <w:sz w:val="20"/>
        </w:rPr>
        <w:t>端口约定（已全链路统一）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- 后端实际运行端口：</w:t>
      </w:r>
      <w:r>
        <w:rPr>
          <w:rFonts w:ascii="Calibri" w:hAnsi="Calibri" w:eastAsia="宋体"/>
          <w:b/>
          <w:i w:val="0"/>
          <w:color w:val="666666"/>
          <w:sz w:val="20"/>
        </w:rPr>
        <w:t>8002</w:t>
      </w:r>
      <w:r>
        <w:rPr>
          <w:rFonts w:ascii="Calibri" w:hAnsi="Calibri" w:eastAsia="宋体"/>
          <w:b w:val="0"/>
          <w:i w:val="0"/>
          <w:color w:val="666666"/>
          <w:sz w:val="20"/>
        </w:rPr>
        <w:t>（Windows 下 8000/8001 存在 TCP 僵尸 socket，需重启释放，故统一改用 8002）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- 备选端口：</w:t>
      </w:r>
      <w:r>
        <w:rPr>
          <w:rFonts w:ascii="Calibri" w:hAnsi="Calibri" w:eastAsia="宋体"/>
          <w:b/>
          <w:i w:val="0"/>
          <w:color w:val="666666"/>
          <w:sz w:val="20"/>
        </w:rPr>
        <w:t>8003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（8002 被占时使用，并同步修改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vite.config.ts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proxy target）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- 前端 Vite 默认 5173，</w:t>
      </w:r>
      <w:r>
        <w:rPr>
          <w:rFonts w:ascii="Consolas" w:hAnsi="Consolas" w:eastAsia="Consolas"/>
          <w:b w:val="0"/>
          <w:i w:val="0"/>
          <w:color w:val="C53AE8"/>
          <w:sz w:val="19"/>
        </w:rPr>
        <w:t>vite.config.</w:t>
      </w:r>
      <w:bookmarkStart w:id="5" w:name="_GoBack"/>
      <w:bookmarkEnd w:id="5"/>
      <w:r>
        <w:rPr>
          <w:rFonts w:ascii="Consolas" w:hAnsi="Consolas" w:eastAsia="Consolas"/>
          <w:b w:val="0"/>
          <w:i w:val="0"/>
          <w:color w:val="C53AE8"/>
          <w:sz w:val="19"/>
        </w:rPr>
        <w:t>ts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中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/api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代理指向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http://127.0.0.1:8002</w:t>
      </w:r>
    </w:p>
    <w:p w14:paraId="2309C682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62D02FD4">
      <w:pPr>
        <w:pStyle w:val="4"/>
      </w:pPr>
      <w:bookmarkStart w:id="0" w:name="_Toc7448"/>
      <w:r>
        <w:t>一、软件杯提交材料清单（8 项）</w:t>
      </w:r>
      <w:bookmarkEnd w:id="0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528D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6C2BD9"/>
          </w:tcPr>
          <w:p w14:paraId="403911DC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379" w:type="dxa"/>
            <w:shd w:val="clear" w:color="auto" w:fill="6C2BD9"/>
          </w:tcPr>
          <w:p w14:paraId="6253206B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材料</w:t>
            </w:r>
          </w:p>
        </w:tc>
        <w:tc>
          <w:tcPr>
            <w:tcW w:w="2379" w:type="dxa"/>
            <w:shd w:val="clear" w:color="auto" w:fill="6C2BD9"/>
          </w:tcPr>
          <w:p w14:paraId="7F827BBC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文件位置</w:t>
            </w:r>
          </w:p>
        </w:tc>
        <w:tc>
          <w:tcPr>
            <w:tcW w:w="2379" w:type="dxa"/>
            <w:shd w:val="clear" w:color="auto" w:fill="6C2BD9"/>
          </w:tcPr>
          <w:p w14:paraId="477A2C0D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5096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2960954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</w:t>
            </w:r>
          </w:p>
        </w:tc>
        <w:tc>
          <w:tcPr>
            <w:tcW w:w="2379" w:type="dxa"/>
          </w:tcPr>
          <w:p w14:paraId="08B0036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开发说明书</w:t>
            </w:r>
          </w:p>
        </w:tc>
        <w:tc>
          <w:tcPr>
            <w:tcW w:w="2379" w:type="dxa"/>
          </w:tcPr>
          <w:p w14:paraId="64090AC9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documents/开发说明书.md</w:t>
            </w:r>
          </w:p>
        </w:tc>
        <w:tc>
          <w:tcPr>
            <w:tcW w:w="2379" w:type="dxa"/>
          </w:tcPr>
          <w:p w14:paraId="2E1065B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系统架构、模块划分、运行方式</w:t>
            </w:r>
          </w:p>
        </w:tc>
      </w:tr>
      <w:tr w14:paraId="2CC7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4F2FA"/>
          </w:tcPr>
          <w:p w14:paraId="66FFD40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2</w:t>
            </w:r>
          </w:p>
        </w:tc>
        <w:tc>
          <w:tcPr>
            <w:tcW w:w="2379" w:type="dxa"/>
            <w:shd w:val="clear" w:color="auto" w:fill="F4F2FA"/>
          </w:tcPr>
          <w:p w14:paraId="0404D89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测试说明书</w:t>
            </w:r>
          </w:p>
        </w:tc>
        <w:tc>
          <w:tcPr>
            <w:tcW w:w="2379" w:type="dxa"/>
            <w:shd w:val="clear" w:color="auto" w:fill="F4F2FA"/>
          </w:tcPr>
          <w:p w14:paraId="1A289DD7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documents/测试说明书.md</w:t>
            </w:r>
          </w:p>
        </w:tc>
        <w:tc>
          <w:tcPr>
            <w:tcW w:w="2379" w:type="dxa"/>
            <w:shd w:val="clear" w:color="auto" w:fill="F4F2FA"/>
          </w:tcPr>
          <w:p w14:paraId="14E3EDA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测试策略、用例、通过情况</w:t>
            </w:r>
          </w:p>
        </w:tc>
      </w:tr>
      <w:tr w14:paraId="7EB1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296BF7A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</w:t>
            </w:r>
          </w:p>
        </w:tc>
        <w:tc>
          <w:tcPr>
            <w:tcW w:w="2379" w:type="dxa"/>
          </w:tcPr>
          <w:p w14:paraId="7D30E24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开源声明 / 技术方案</w:t>
            </w:r>
          </w:p>
        </w:tc>
        <w:tc>
          <w:tcPr>
            <w:tcW w:w="2379" w:type="dxa"/>
          </w:tcPr>
          <w:p w14:paraId="1083A483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documents/系统架构设计文档.md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§0 开源声明</w:t>
            </w:r>
          </w:p>
        </w:tc>
        <w:tc>
          <w:tcPr>
            <w:tcW w:w="2379" w:type="dxa"/>
          </w:tcPr>
          <w:p w14:paraId="0A6D5DB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16 项开源依赖声明</w:t>
            </w:r>
          </w:p>
        </w:tc>
      </w:tr>
      <w:tr w14:paraId="15E2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4F2FA"/>
          </w:tcPr>
          <w:p w14:paraId="5617C3B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</w:t>
            </w:r>
          </w:p>
        </w:tc>
        <w:tc>
          <w:tcPr>
            <w:tcW w:w="2379" w:type="dxa"/>
            <w:shd w:val="clear" w:color="auto" w:fill="F4F2FA"/>
          </w:tcPr>
          <w:p w14:paraId="7008E3E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演示脚本</w:t>
            </w:r>
          </w:p>
        </w:tc>
        <w:tc>
          <w:tcPr>
            <w:tcW w:w="2379" w:type="dxa"/>
            <w:shd w:val="clear" w:color="auto" w:fill="F4F2FA"/>
          </w:tcPr>
          <w:p w14:paraId="39488BFE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documents/演示脚本.md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documents/演示脚本完整版.md</w:t>
            </w:r>
          </w:p>
        </w:tc>
        <w:tc>
          <w:tcPr>
            <w:tcW w:w="2379" w:type="dxa"/>
            <w:shd w:val="clear" w:color="auto" w:fill="F4F2FA"/>
          </w:tcPr>
          <w:p w14:paraId="34C558A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 分钟现场版 + 10 场景完整版</w:t>
            </w:r>
          </w:p>
        </w:tc>
      </w:tr>
      <w:tr w14:paraId="67F7D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6494A98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</w:t>
            </w:r>
          </w:p>
        </w:tc>
        <w:tc>
          <w:tcPr>
            <w:tcW w:w="2379" w:type="dxa"/>
          </w:tcPr>
          <w:p w14:paraId="1B1689E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系统架构设计</w:t>
            </w:r>
          </w:p>
        </w:tc>
        <w:tc>
          <w:tcPr>
            <w:tcW w:w="2379" w:type="dxa"/>
          </w:tcPr>
          <w:p w14:paraId="45F8A9AE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documents/系统架构设计文档.md</w:t>
            </w:r>
          </w:p>
        </w:tc>
        <w:tc>
          <w:tcPr>
            <w:tcW w:w="2379" w:type="dxa"/>
          </w:tcPr>
          <w:p w14:paraId="7AC298D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模块化单体、6 有界上下文、ADR</w:t>
            </w:r>
          </w:p>
        </w:tc>
      </w:tr>
      <w:tr w14:paraId="09A7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4F2FA"/>
          </w:tcPr>
          <w:p w14:paraId="4688875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6</w:t>
            </w:r>
          </w:p>
        </w:tc>
        <w:tc>
          <w:tcPr>
            <w:tcW w:w="2379" w:type="dxa"/>
            <w:shd w:val="clear" w:color="auto" w:fill="F4F2FA"/>
          </w:tcPr>
          <w:p w14:paraId="777258B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项目进展 / 合规清单</w:t>
            </w:r>
          </w:p>
        </w:tc>
        <w:tc>
          <w:tcPr>
            <w:tcW w:w="2379" w:type="dxa"/>
            <w:shd w:val="clear" w:color="auto" w:fill="F4F2FA"/>
          </w:tcPr>
          <w:p w14:paraId="30FFBF34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documents/软件杯赛题合规清单.md</w:t>
            </w:r>
          </w:p>
        </w:tc>
        <w:tc>
          <w:tcPr>
            <w:tcW w:w="2379" w:type="dxa"/>
            <w:shd w:val="clear" w:color="auto" w:fill="F4F2FA"/>
          </w:tcPr>
          <w:p w14:paraId="5B09319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赛题逐项合规核对</w:t>
            </w:r>
          </w:p>
        </w:tc>
      </w:tr>
      <w:tr w14:paraId="54BF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3B8EDDE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7</w:t>
            </w:r>
          </w:p>
        </w:tc>
        <w:tc>
          <w:tcPr>
            <w:tcW w:w="2379" w:type="dxa"/>
          </w:tcPr>
          <w:p w14:paraId="7894E76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部署文档</w:t>
            </w:r>
          </w:p>
        </w:tc>
        <w:tc>
          <w:tcPr>
            <w:tcW w:w="2379" w:type="dxa"/>
          </w:tcPr>
          <w:p w14:paraId="39A19D03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documents/DEPLOY.md</w:t>
            </w:r>
          </w:p>
        </w:tc>
        <w:tc>
          <w:tcPr>
            <w:tcW w:w="2379" w:type="dxa"/>
          </w:tcPr>
          <w:p w14:paraId="761B932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Docker / 本地部署步骤</w:t>
            </w:r>
          </w:p>
        </w:tc>
      </w:tr>
      <w:tr w14:paraId="2D05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4F2FA"/>
          </w:tcPr>
          <w:p w14:paraId="41A65A1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8</w:t>
            </w:r>
          </w:p>
        </w:tc>
        <w:tc>
          <w:tcPr>
            <w:tcW w:w="2379" w:type="dxa"/>
            <w:shd w:val="clear" w:color="auto" w:fill="F4F2FA"/>
          </w:tcPr>
          <w:p w14:paraId="76AC3EF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快速启动指南</w:t>
            </w:r>
          </w:p>
        </w:tc>
        <w:tc>
          <w:tcPr>
            <w:tcW w:w="2379" w:type="dxa"/>
            <w:shd w:val="clear" w:color="auto" w:fill="F4F2FA"/>
          </w:tcPr>
          <w:p w14:paraId="63E6BE8A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documents/快速启动指南.md</w:t>
            </w:r>
          </w:p>
        </w:tc>
        <w:tc>
          <w:tcPr>
            <w:tcW w:w="2379" w:type="dxa"/>
            <w:shd w:val="clear" w:color="auto" w:fill="F4F2FA"/>
          </w:tcPr>
          <w:p w14:paraId="54FFB99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一键启动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start.bat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start.sh</w:t>
            </w:r>
          </w:p>
        </w:tc>
      </w:tr>
    </w:tbl>
    <w:p w14:paraId="21F8D0A8">
      <w:pPr>
        <w:spacing w:after="40"/>
      </w:pPr>
    </w:p>
    <w:p w14:paraId="485C3DCF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3D347DAB">
      <w:pPr>
        <w:pStyle w:val="4"/>
      </w:pPr>
      <w:bookmarkStart w:id="1" w:name="_Toc9229"/>
      <w:r>
        <w:t>二、本地启动命令（录制定稿前验证用）</w:t>
      </w:r>
      <w:bookmarkEnd w:id="1"/>
    </w:p>
    <w:p w14:paraId="5056AB83">
      <w:pPr>
        <w:shd w:val="clear" w:color="auto" w:fill="F4F4F8"/>
        <w:spacing w:before="80" w:after="80" w:line="276" w:lineRule="auto"/>
        <w:ind w:left="227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</w:r>
      <w:r>
        <w:rPr>
          <w:rFonts w:ascii="Consolas" w:hAnsi="Consolas" w:eastAsia="Consolas"/>
          <w:b w:val="0"/>
          <w:i/>
          <w:color w:val="999999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# 后端（8002）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cd py-server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.venv/Scripts/python.exe -m uvicorn main:app --host 127.0.0.1 --port 8002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# 前端（5173，代理到 8002）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npm run dev</w:t>
      </w:r>
    </w:p>
    <w:p w14:paraId="089BD0A5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健康检查：</w:t>
      </w:r>
      <w:r>
        <w:rPr>
          <w:rFonts w:ascii="Consolas" w:hAnsi="Consolas" w:eastAsia="Consolas"/>
          <w:b w:val="0"/>
          <w:i w:val="0"/>
          <w:color w:val="C53AE8"/>
          <w:sz w:val="19"/>
        </w:rPr>
        <w:t>curl http://127.0.0.1:8002/api/status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若 8002 被占：改用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--port 8003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，并修改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vite.config.ts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中 proxy target 为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http://127.0.0.1:8003</w:t>
      </w:r>
      <w:r>
        <w:rPr>
          <w:rFonts w:ascii="Calibri" w:hAnsi="Calibri" w:eastAsia="宋体"/>
          <w:b w:val="0"/>
          <w:i w:val="0"/>
          <w:color w:val="666666"/>
          <w:sz w:val="20"/>
        </w:rPr>
        <w:t>。</w:t>
      </w:r>
    </w:p>
    <w:p w14:paraId="03D77C63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F06C205">
      <w:pPr>
        <w:pStyle w:val="4"/>
      </w:pPr>
      <w:bookmarkStart w:id="2" w:name="_Toc899"/>
      <w:r>
        <w:t>三、录制指南（10 场景）</w:t>
      </w:r>
      <w:bookmarkEnd w:id="2"/>
    </w:p>
    <w:p w14:paraId="595A7C29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录制为</w:t>
      </w:r>
      <w:r>
        <w:rPr>
          <w:rFonts w:ascii="Calibri" w:hAnsi="Calibri" w:eastAsia="宋体"/>
          <w:b/>
          <w:i w:val="0"/>
          <w:color w:val="666666"/>
          <w:sz w:val="20"/>
        </w:rPr>
        <w:t>最后一步</w:t>
      </w:r>
      <w:r>
        <w:rPr>
          <w:rFonts w:ascii="Calibri" w:hAnsi="Calibri" w:eastAsia="宋体"/>
          <w:b w:val="0"/>
          <w:i w:val="0"/>
          <w:color w:val="666666"/>
          <w:sz w:val="20"/>
        </w:rPr>
        <w:t>，需系统完整可运行后进行。系统当前若不可用，应先修复再录制。</w:t>
      </w:r>
    </w:p>
    <w:p w14:paraId="62B21EB1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详见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documents/演示脚本完整版.md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（10 场景分镜头脚本）与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documents/演示脚本.md</w:t>
      </w:r>
      <w:r>
        <w:rPr>
          <w:rFonts w:ascii="Calibri" w:hAnsi="Calibri" w:eastAsia="宋体"/>
          <w:b w:val="0"/>
          <w:i w:val="0"/>
          <w:color w:val="1A1A2E"/>
          <w:sz w:val="21"/>
        </w:rPr>
        <w:t>（5 分钟现场版）。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156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73" w:type="dxa"/>
            <w:shd w:val="clear" w:color="auto" w:fill="6C2BD9"/>
          </w:tcPr>
          <w:p w14:paraId="13BE6361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w="3173" w:type="dxa"/>
            <w:shd w:val="clear" w:color="auto" w:fill="6C2BD9"/>
          </w:tcPr>
          <w:p w14:paraId="5546CEF4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w="3173" w:type="dxa"/>
            <w:shd w:val="clear" w:color="auto" w:fill="6C2BD9"/>
          </w:tcPr>
          <w:p w14:paraId="18DCA297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时长</w:t>
            </w:r>
          </w:p>
        </w:tc>
      </w:tr>
      <w:tr w14:paraId="333E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3E5960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0</w:t>
            </w:r>
          </w:p>
        </w:tc>
        <w:tc>
          <w:tcPr>
            <w:tcW w:w="3173" w:type="dxa"/>
          </w:tcPr>
          <w:p w14:paraId="28C818D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开场：系统定位与闭环</w:t>
            </w:r>
          </w:p>
        </w:tc>
        <w:tc>
          <w:tcPr>
            <w:tcW w:w="3173" w:type="dxa"/>
          </w:tcPr>
          <w:p w14:paraId="6258043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20s</w:t>
            </w:r>
          </w:p>
        </w:tc>
      </w:tr>
      <w:tr w14:paraId="7E6D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12CBBBB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</w:t>
            </w:r>
          </w:p>
        </w:tc>
        <w:tc>
          <w:tcPr>
            <w:tcW w:w="3173" w:type="dxa"/>
            <w:shd w:val="clear" w:color="auto" w:fill="F4F2FA"/>
          </w:tcPr>
          <w:p w14:paraId="163FBC1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对话式 8 维度画像构建</w:t>
            </w:r>
          </w:p>
        </w:tc>
        <w:tc>
          <w:tcPr>
            <w:tcW w:w="3173" w:type="dxa"/>
            <w:shd w:val="clear" w:color="auto" w:fill="F4F2FA"/>
          </w:tcPr>
          <w:p w14:paraId="284E63B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50s</w:t>
            </w:r>
          </w:p>
        </w:tc>
      </w:tr>
      <w:tr w14:paraId="44D0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CC8725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2</w:t>
            </w:r>
          </w:p>
        </w:tc>
        <w:tc>
          <w:tcPr>
            <w:tcW w:w="3173" w:type="dxa"/>
          </w:tcPr>
          <w:p w14:paraId="5DFAE59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多智能体资源生成（★重点）</w:t>
            </w:r>
          </w:p>
        </w:tc>
        <w:tc>
          <w:tcPr>
            <w:tcW w:w="3173" w:type="dxa"/>
          </w:tcPr>
          <w:p w14:paraId="352AA04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60s</w:t>
            </w:r>
          </w:p>
        </w:tc>
      </w:tr>
      <w:tr w14:paraId="5DCD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014EB40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</w:t>
            </w:r>
          </w:p>
        </w:tc>
        <w:tc>
          <w:tcPr>
            <w:tcW w:w="3173" w:type="dxa"/>
            <w:shd w:val="clear" w:color="auto" w:fill="F4F2FA"/>
          </w:tcPr>
          <w:p w14:paraId="3CDB9C7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算法引擎可视化（★亮点）</w:t>
            </w:r>
          </w:p>
        </w:tc>
        <w:tc>
          <w:tcPr>
            <w:tcW w:w="3173" w:type="dxa"/>
            <w:shd w:val="clear" w:color="auto" w:fill="F4F2FA"/>
          </w:tcPr>
          <w:p w14:paraId="7D61397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40s</w:t>
            </w:r>
          </w:p>
        </w:tc>
      </w:tr>
      <w:tr w14:paraId="1FEF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535EEFF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</w:t>
            </w:r>
          </w:p>
        </w:tc>
        <w:tc>
          <w:tcPr>
            <w:tcW w:w="3173" w:type="dxa"/>
          </w:tcPr>
          <w:p w14:paraId="370CCFE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智能对话 + 流式答疑</w:t>
            </w:r>
          </w:p>
        </w:tc>
        <w:tc>
          <w:tcPr>
            <w:tcW w:w="3173" w:type="dxa"/>
          </w:tcPr>
          <w:p w14:paraId="1563859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30s</w:t>
            </w:r>
          </w:p>
        </w:tc>
      </w:tr>
      <w:tr w14:paraId="4F84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2D7B015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</w:t>
            </w:r>
          </w:p>
        </w:tc>
        <w:tc>
          <w:tcPr>
            <w:tcW w:w="3173" w:type="dxa"/>
            <w:shd w:val="clear" w:color="auto" w:fill="F4F2FA"/>
          </w:tcPr>
          <w:p w14:paraId="0CD3EA5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答题闭环 — 效果评估（★重点）</w:t>
            </w:r>
          </w:p>
        </w:tc>
        <w:tc>
          <w:tcPr>
            <w:tcW w:w="3173" w:type="dxa"/>
            <w:shd w:val="clear" w:color="auto" w:fill="F4F2FA"/>
          </w:tcPr>
          <w:p w14:paraId="0C27D04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50s</w:t>
            </w:r>
          </w:p>
        </w:tc>
      </w:tr>
      <w:tr w14:paraId="16F6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47669C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6</w:t>
            </w:r>
          </w:p>
        </w:tc>
        <w:tc>
          <w:tcPr>
            <w:tcW w:w="3173" w:type="dxa"/>
          </w:tcPr>
          <w:p w14:paraId="3BDA038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学习路径 + 资源联动（★重点）</w:t>
            </w:r>
          </w:p>
        </w:tc>
        <w:tc>
          <w:tcPr>
            <w:tcW w:w="3173" w:type="dxa"/>
          </w:tcPr>
          <w:p w14:paraId="122196A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30s</w:t>
            </w:r>
          </w:p>
        </w:tc>
      </w:tr>
      <w:tr w14:paraId="6BF7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4562F11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7</w:t>
            </w:r>
          </w:p>
        </w:tc>
        <w:tc>
          <w:tcPr>
            <w:tcW w:w="3173" w:type="dxa"/>
            <w:shd w:val="clear" w:color="auto" w:fill="F4F2FA"/>
          </w:tcPr>
          <w:p w14:paraId="7BCEE3E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学习效果多维评估</w:t>
            </w:r>
          </w:p>
        </w:tc>
        <w:tc>
          <w:tcPr>
            <w:tcW w:w="3173" w:type="dxa"/>
            <w:shd w:val="clear" w:color="auto" w:fill="F4F2FA"/>
          </w:tcPr>
          <w:p w14:paraId="56E9696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25s</w:t>
            </w:r>
          </w:p>
        </w:tc>
      </w:tr>
      <w:tr w14:paraId="3D19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5E5FA00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8</w:t>
            </w:r>
          </w:p>
        </w:tc>
        <w:tc>
          <w:tcPr>
            <w:tcW w:w="3173" w:type="dxa"/>
          </w:tcPr>
          <w:p w14:paraId="3165F5B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讯飞星火三通道 LLM</w:t>
            </w:r>
          </w:p>
        </w:tc>
        <w:tc>
          <w:tcPr>
            <w:tcW w:w="3173" w:type="dxa"/>
          </w:tcPr>
          <w:p w14:paraId="2CEB2A3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15s</w:t>
            </w:r>
          </w:p>
        </w:tc>
      </w:tr>
      <w:tr w14:paraId="0F16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5DC0A82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9</w:t>
            </w:r>
          </w:p>
        </w:tc>
        <w:tc>
          <w:tcPr>
            <w:tcW w:w="3173" w:type="dxa"/>
            <w:shd w:val="clear" w:color="auto" w:fill="F4F2FA"/>
          </w:tcPr>
          <w:p w14:paraId="7B4C718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代码沙箱</w:t>
            </w:r>
          </w:p>
        </w:tc>
        <w:tc>
          <w:tcPr>
            <w:tcW w:w="3173" w:type="dxa"/>
            <w:shd w:val="clear" w:color="auto" w:fill="F4F2FA"/>
          </w:tcPr>
          <w:p w14:paraId="25EADFB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10s</w:t>
            </w:r>
          </w:p>
        </w:tc>
      </w:tr>
      <w:tr w14:paraId="7013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6F8D11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10</w:t>
            </w:r>
          </w:p>
        </w:tc>
        <w:tc>
          <w:tcPr>
            <w:tcW w:w="3173" w:type="dxa"/>
          </w:tcPr>
          <w:p w14:paraId="2C3AB87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收尾：差异化总结</w:t>
            </w:r>
          </w:p>
        </w:tc>
        <w:tc>
          <w:tcPr>
            <w:tcW w:w="3173" w:type="dxa"/>
          </w:tcPr>
          <w:p w14:paraId="4D16D3F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15s</w:t>
            </w:r>
          </w:p>
        </w:tc>
      </w:tr>
    </w:tbl>
    <w:p w14:paraId="74C1AAE1">
      <w:pPr>
        <w:spacing w:after="40"/>
      </w:pPr>
    </w:p>
    <w:p w14:paraId="266F1FB2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328E85A4">
      <w:pPr>
        <w:pStyle w:val="4"/>
      </w:pPr>
      <w:bookmarkStart w:id="3" w:name="_Toc26581"/>
      <w:r>
        <w:t>四、AI Coding 工具使用声明</w:t>
      </w:r>
      <w:bookmarkEnd w:id="3"/>
    </w:p>
    <w:p w14:paraId="7E0838AF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赛题要求：</w:t>
      </w:r>
      <w:r>
        <w:rPr>
          <w:rFonts w:ascii="Calibri" w:hAnsi="Calibri" w:eastAsia="宋体"/>
          <w:b w:val="0"/>
          <w:i/>
          <w:color w:val="666666"/>
          <w:sz w:val="20"/>
        </w:rPr>
        <w:t>"若使用AI Coding工具，给出相关说明"</w:t>
      </w:r>
    </w:p>
    <w:p w14:paraId="367D4A97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本项目在开发过程中使用了以下 AI 辅助编程工具：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618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6C2BD9"/>
          </w:tcPr>
          <w:p w14:paraId="33536DD9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w="3173" w:type="dxa"/>
            <w:shd w:val="clear" w:color="auto" w:fill="6C2BD9"/>
          </w:tcPr>
          <w:p w14:paraId="227BACEA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w="3173" w:type="dxa"/>
            <w:shd w:val="clear" w:color="auto" w:fill="6C2BD9"/>
          </w:tcPr>
          <w:p w14:paraId="0C7F09D1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4EB2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8336B20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AtomCode (deepseek-v4-flash)</w:t>
            </w:r>
          </w:p>
        </w:tc>
        <w:tc>
          <w:tcPr>
            <w:tcW w:w="3173" w:type="dxa"/>
          </w:tcPr>
          <w:p w14:paraId="60B228E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代码生成、审查、重构</w:t>
            </w:r>
          </w:p>
        </w:tc>
        <w:tc>
          <w:tcPr>
            <w:tcW w:w="3173" w:type="dxa"/>
          </w:tcPr>
          <w:p w14:paraId="3DC7F39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用于生成后端 API 路由、TTS 服务、视频配音服务、前端 VUE 组件、测试用例等；参与代码审查与架构优化</w:t>
            </w:r>
          </w:p>
        </w:tc>
      </w:tr>
      <w:tr w14:paraId="7E11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3F633105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Claude Code</w:t>
            </w:r>
          </w:p>
        </w:tc>
        <w:tc>
          <w:tcPr>
            <w:tcW w:w="3173" w:type="dxa"/>
            <w:shd w:val="clear" w:color="auto" w:fill="F4F2FA"/>
          </w:tcPr>
          <w:p w14:paraId="4A3C309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代码生成与调试</w:t>
            </w:r>
          </w:p>
        </w:tc>
        <w:tc>
          <w:tcPr>
            <w:tcW w:w="3173" w:type="dxa"/>
            <w:shd w:val="clear" w:color="auto" w:fill="F4F2FA"/>
          </w:tcPr>
          <w:p w14:paraId="39F3C5B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用于生成部分 Agent 节点代码、FrugalRAG 引擎、GOMARL 共识模块</w:t>
            </w:r>
          </w:p>
        </w:tc>
      </w:tr>
    </w:tbl>
    <w:p w14:paraId="2C69FB64">
      <w:pPr>
        <w:spacing w:after="40"/>
      </w:pPr>
    </w:p>
    <w:p w14:paraId="01E4C679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所有 AI 生成的代码均经过人工审查和测试验证，确保功能正确性和安全性。</w:t>
      </w:r>
    </w:p>
    <w:p w14:paraId="17B64D9C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57D52F8">
      <w:pPr>
        <w:pStyle w:val="4"/>
      </w:pPr>
      <w:bookmarkStart w:id="4" w:name="_Toc21428"/>
      <w:r>
        <w:t>五、故障排除</w:t>
      </w:r>
      <w:bookmarkEnd w:id="4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E06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6C2BD9"/>
          </w:tcPr>
          <w:p w14:paraId="5C7325B4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现象</w:t>
            </w:r>
          </w:p>
        </w:tc>
        <w:tc>
          <w:tcPr>
            <w:tcW w:w="4759" w:type="dxa"/>
            <w:shd w:val="clear" w:color="auto" w:fill="6C2BD9"/>
          </w:tcPr>
          <w:p w14:paraId="2117A0B3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处理</w:t>
            </w:r>
          </w:p>
        </w:tc>
      </w:tr>
      <w:tr w14:paraId="6324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DDCA77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端口 8002 被占</w:t>
            </w:r>
          </w:p>
        </w:tc>
        <w:tc>
          <w:tcPr>
            <w:tcW w:w="4759" w:type="dxa"/>
          </w:tcPr>
          <w:p w14:paraId="1DA4428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重启电脑释放僵尸 socket，或改用 8003 + 修改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vite.config.ts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proxy target</w:t>
            </w:r>
          </w:p>
        </w:tc>
      </w:tr>
      <w:tr w14:paraId="68C0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02020F1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前端白屏</w:t>
            </w:r>
          </w:p>
        </w:tc>
        <w:tc>
          <w:tcPr>
            <w:tcW w:w="4759" w:type="dxa"/>
            <w:shd w:val="clear" w:color="auto" w:fill="F4F2FA"/>
          </w:tcPr>
          <w:p w14:paraId="417B2EF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确认 Vite proxy 指向 8002，后端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/api/status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返回 200</w:t>
            </w:r>
          </w:p>
        </w:tc>
      </w:tr>
      <w:tr w14:paraId="0F02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050D9A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LLM 无响应</w:t>
            </w:r>
          </w:p>
        </w:tc>
        <w:tc>
          <w:tcPr>
            <w:tcW w:w="4759" w:type="dxa"/>
          </w:tcPr>
          <w:p w14:paraId="7C1F545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检查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.env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中 DeepSeek / 讯飞 X2 密钥是否齐全，无 key 自动回退</w:t>
            </w:r>
          </w:p>
        </w:tc>
      </w:tr>
    </w:tbl>
    <w:p w14:paraId="13C29E90">
      <w:pPr>
        <w:spacing w:after="40"/>
      </w:pPr>
    </w:p>
    <w:p w14:paraId="7195DCA3"/>
    <w:p w14:paraId="6D293176">
      <w:pPr>
        <w:jc w:val="center"/>
      </w:pPr>
      <w:r>
        <w:rPr>
          <w:rFonts w:ascii="Calibri" w:hAnsi="Calibri" w:eastAsia="宋体"/>
          <w:b w:val="0"/>
          <w:i/>
          <w:color w:val="999999"/>
          <w:sz w:val="17"/>
        </w:rPr>
        <w:t>━ 本文档由 MARS-408 参赛团队编写，配套中国软件杯 A3 赛题提交 ━</w:t>
      </w: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GreatCam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reatCamp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624F4">
    <w:pPr>
      <w:pStyle w:val="24"/>
      <w:jc w:val="center"/>
    </w:pPr>
    <w:r>
      <w:rPr>
        <w:rFonts w:ascii="Calibri" w:hAnsi="Calibri" w:eastAsia="宋体"/>
        <w:b w:val="0"/>
        <w:i w:val="0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6C366">
    <w:pPr>
      <w:pStyle w:val="25"/>
      <w:jc w:val="right"/>
    </w:pPr>
    <w:r>
      <w:rPr>
        <w:rFonts w:ascii="Calibri" w:hAnsi="Calibri" w:eastAsia="宋体"/>
        <w:b w:val="0"/>
        <w:i w:val="0"/>
        <w:color w:val="999999"/>
        <w:sz w:val="17"/>
      </w:rPr>
      <w:t>MARS-408 · MARS-408 — 软件杯提交清单与录制指南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0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Calibri" w:hAnsi="Calibri" w:eastAsia="宋体" w:cstheme="minorBidi"/>
      <w:color w:val="1A1A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4A1F96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6C2BD9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160" w:after="120"/>
      <w:outlineLvl w:val="3"/>
    </w:pPr>
    <w:rPr>
      <w:rFonts w:asciiTheme="majorHAnsi" w:hAnsiTheme="majorHAnsi" w:eastAsiaTheme="majorEastAsia" w:cstheme="majorBidi"/>
      <w:b/>
      <w:bCs/>
      <w:i/>
      <w:iCs/>
      <w:color w:val="1A1A2E"/>
      <w:sz w:val="23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712</Words>
  <Characters>1267</Characters>
  <Lines>0</Lines>
  <Paragraphs>0</Paragraphs>
  <TotalTime>0</TotalTime>
  <ScaleCrop>false</ScaleCrop>
  <LinksUpToDate>false</LinksUpToDate>
  <CharactersWithSpaces>1363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张敏杰</cp:lastModifiedBy>
  <dcterms:modified xsi:type="dcterms:W3CDTF">2026-07-20T06:36:54Z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eyJoZGlkIjoiZDlhZjk0ZGU5YjAwMmJjNGE4MzgwZDY2OTgyNmMwMDkiLCJ1c2VySWQiOiIxNzY1NDUwODMyIn0=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B2E0AA8CA3C8427B882A20E7CF41567E_12</vt:lpwstr>
  </property>
</Properties>
</file>