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系统架构设计文档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>: 本文档描述的是 2026-07-04 时的架构快照。当前系统已升级至 10 节点 StateGraph（新增 Evidence Check + Quality Gate），35 路由模块，500+ 测试全绿。架构设计原则和 ADR 决策仍然有效。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系统架构总览图 (Mermaid)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执行摘要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现状分析与架构债务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有界上下文划分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目标架构设计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架构决策记录 (ADR)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演进路线图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质量属性分析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风险矩阵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路由层["🔌 API 路由层 (FastAPI 35 路由模块)"]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系统架构总览（系统实际运行界面）</w:t>
      </w:r>
    </w:p>
    <w:p>
      <w:pPr>
        <w:pStyle w:val="Heading3"/>
      </w:pPr>
      <w: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 + Pinia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API路由层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35 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REST + SSE 双协议，双挂载(/api/v1 + /api)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Agent编排层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10节点StateGraph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双引擎核心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+ GOMARL (自研)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节俭检索 + 共识投票 + 证据冲突消解 + 教学规则约束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PG / Redis / E5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向量存储 + 持久化 + 缓存 + 嵌入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讯飞星火X2 / DeepSeek / Qwen2.5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三通道自动容灾路由</w:t>
            </w:r>
          </w:p>
        </w:tc>
      </w:tr>
    </w:tbl>
    <w:p>
      <w:pPr>
        <w:spacing w:after="40"/>
      </w:pPr>
    </w:p>
    <w:p>
      <w:pPr>
        <w:pStyle w:val="Heading3"/>
      </w:pPr>
      <w: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deactivate AG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执行摘要</w:t>
      </w:r>
    </w:p>
    <w:p>
      <w:pPr>
        <w:pStyle w:val="Heading3"/>
      </w:pPr>
      <w:r>
        <w:t>1.1 问题陈述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是一个面向计算机 408 考研的个性化学习多智能体系统，当前处于"软件杯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3"/>
      </w:pPr>
      <w: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决策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选择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架构风格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 (Modular Monolith)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上下文边界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 个有界上下文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按业务领域而非技术层切分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数据一致性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 + Saga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教育场景容忍短暂不一致，换取可用性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通信模式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进程内调用 + 未来事件总线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同步，Phase 2 引入异步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部署策略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单进程 ASGI + 未来容器化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渐进式容器化，不过早引入 K8s</w:t>
            </w:r>
          </w:p>
        </w:tc>
      </w:tr>
    </w:tbl>
    <w:p>
      <w:pPr>
        <w:spacing w:after="40"/>
      </w:pPr>
    </w:p>
    <w:p>
      <w:pPr>
        <w:pStyle w:val="Heading3"/>
      </w:pPr>
      <w:r>
        <w:t>1.3 不做什么 (Anti-Goals)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现状分析与架构债务</w:t>
      </w:r>
    </w:p>
    <w:p>
      <w:pPr>
        <w:pStyle w:val="Heading3"/>
      </w:pPr>
      <w: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Vue 3 SPA → FastAPI (35 routes) → LangGraph 10-Agent → Engines (FrugalRAG + GoMARL) → DB (Milvus/PG/Redis)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10-Agent StateGraph 条件路由 + 重试循环（coordinator → diagnostician → planner → retriever → generator</w:t>
      </w:r>
      <w:r>
        <w:rPr>
          <w:rFonts w:ascii="Calibri" w:hAnsi="Calibri" w:eastAsia="宋体"/>
          <w:b w:val="0"/>
          <w:i/>
          <w:color w:val="1A1A2E"/>
          <w:sz w:val="21"/>
        </w:rPr>
        <w:t>cluster → assessor → critic → evidence</w:t>
      </w:r>
      <w:r>
        <w:rPr>
          <w:rFonts w:ascii="Calibri" w:hAnsi="Calibri" w:eastAsia="宋体"/>
          <w:b w:val="0"/>
          <w:i w:val="0"/>
          <w:color w:val="1A1A2E"/>
          <w:sz w:val="21"/>
        </w:rPr>
        <w:t>check → quality</w:t>
      </w:r>
      <w:r>
        <w:rPr>
          <w:rFonts w:ascii="Calibri" w:hAnsi="Calibri" w:eastAsia="宋体"/>
          <w:b w:val="0"/>
          <w:i/>
          <w:color w:val="1A1A2E"/>
          <w:sz w:val="21"/>
        </w:rPr>
        <w:t>gate → 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FrugalRAG 三层检索（Lite: E5+BM25 融合 / SFT风格: LLM查询优化+ReAct 多轮 / Stop: 启发式覆盖率阈值停止,GRPO思路非RL）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GoMARL 共识（NeuralMixer + 证据冲突消解 + 教学规则约束）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三通道路由（讯飞星火 X2 → DeepSeek → Qwen 自动降级）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 → Milvus 优雅降级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500+ 测试全绿</w:t>
      </w:r>
    </w:p>
    <w:p>
      <w:pPr>
        <w:pStyle w:val="Heading3"/>
      </w:pPr>
      <w: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债务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严重度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修复阶段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违反分层架构原则，阻碍测试隔离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存储 API Key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安全风险，代码泄露即密钥泄露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在主进程执行用户代码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绕过模块拦截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所有 DB 客户端模块级实例化，无依赖注入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 mock 替换，测试困难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混合 5 个无关路由（路径/沙箱/配置/科目/评估）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违反单一职责，修改风险扩散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JSON 全量序列化 768 维向量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数据量 &gt;1000 条时序列化耗时 &gt;5s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前缀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破坏性变更无法兼容旧客户端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HTTPException / JSON error / SSE error 三种模式混用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前端需要针对每种模式写不同处理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allow_origins=["*"]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生产环境安全风险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llm._resolve()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封装不足，内部实现耦合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有界上下文划分</w:t>
      </w:r>
    </w:p>
    <w:p>
      <w:pPr>
        <w:pStyle w:val="Heading3"/>
      </w:pPr>
      <w:r>
        <w:t>3.1 上下文地图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3.2 上下文职责定义</w:t>
      </w:r>
    </w:p>
    <w:p>
      <w:pPr>
        <w:pStyle w:val="Heading4"/>
      </w:pPr>
      <w:r>
        <w:t>3.2.1 Learning Context (核心域)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一个 LearningSession 同一时刻只能有一个活跃的 Agent 流水线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Generator Cluster 的 4 个子 Agent 必须全部完成才能进入 Assessor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Critic 标记 flagged 时必须回到 Retriever 重试，最多 3 轮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api/langgraph.py</w:t>
      </w:r>
    </w:p>
    <w:p>
      <w:pPr>
        <w:pStyle w:val="Heading4"/>
      </w:pPr>
      <w:r>
        <w:t>3.2.2 Knowledge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KnowledgeChunk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 KnowledgeChunk 必须有 embedding（非零向量或 fallback_zero 标记）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向量维度固定 768（E5-base-v2）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检索结果必须标注来源科目和置信度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</w:p>
    <w:p>
      <w:pPr>
        <w:pStyle w:val="Heading4"/>
      </w:pPr>
      <w:r>
        <w:t>3.2.3 Student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StudentProfile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画像必须包含 8 个维度（知识掌握/学习风格/认知水平/时间偏好/难度偏好/科目权重/薄弱领域/学习目标）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答题正确率按 (科目, 知识点) 二维聚合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画像更新需追溯来源（对话推断 / 答题统计 / 教师标注）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api/quiz.py</w:t>
      </w:r>
    </w:p>
    <w:p>
      <w:pPr>
        <w:pStyle w:val="Heading4"/>
      </w:pPr>
      <w:r>
        <w:t>3.2.4 Content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GeneratedResource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资源类型必须属于 7 种已定义类型之一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每个资源必须关联至少一个知识点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资源生成必须经过 GoMARL 共识 + Critic 审阅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4"/>
      </w:pPr>
      <w:r>
        <w:t>3.2.5 AI Infrastructure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LLMChannel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三通道自动降级（讯飞星火 X2 → DeepSeek → Qwen）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嵌入模型固定 E5-base-v2（768 维）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调用必须记录 token 消耗和延迟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4"/>
      </w:pPr>
      <w:r>
        <w:t>3.2.6 Teaching Rules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KnowledgeGraph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 group 编号按科目偏移（计网 1-7 / DS 8-14 / 计组 15-21 / OS 22-26）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前置依赖必须无环（DAG）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考查权重之和 = 1.0（每科目内）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3"/>
      </w:pPr>
      <w: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Content ──[Customer/Supplier]──&gt; Teaching Rules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目标架构设计</w:t>
      </w:r>
    </w:p>
    <w:p>
      <w:pPr>
        <w:pStyle w:val="Heading3"/>
      </w:pPr>
      <w: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4.2 关键架构原则</w:t>
      </w:r>
    </w:p>
    <w:p>
      <w:pPr>
        <w:pStyle w:val="Heading4"/>
      </w:pPr>
      <w: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(接口反转, DI 注入)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messages, **kwargs): ...</w:t>
      </w:r>
    </w:p>
    <w:p>
      <w:pPr>
        <w:pStyle w:val="Heading4"/>
      </w:pPr>
      <w:r>
        <w:t>原则 2: 上下文间通过领域事件通信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event_bus.subscribe("DiagnosisCompleted", planner_service.adjust_plan)</w:t>
      </w:r>
    </w:p>
    <w:p>
      <w:pPr>
        <w:pStyle w:val="Heading4"/>
      </w:pPr>
      <w: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model_config = {"env_file": ".env", "env_file_encoding": "utf-8"}</w:t>
      </w:r>
    </w:p>
    <w:p>
      <w:pPr>
        <w:pStyle w:val="Heading3"/>
      </w:pPr>
      <w:r>
        <w:t>4.3 依赖注入容器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Container(Settings())</w:t>
      </w:r>
    </w:p>
    <w:p>
      <w:pPr>
        <w:pStyle w:val="Heading3"/>
      </w:pPr>
      <w:r>
        <w:t>4.4 解决循环依赖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After:  API → Service.upload() → Engine.embed() → DB.insert(precomputed_vectors)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UploadResult(chunks=len(chunks))</w:t>
      </w:r>
    </w:p>
    <w:p>
      <w:pPr>
        <w:pStyle w:val="Heading3"/>
      </w:pPr>
      <w: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 = FastAPI(title="MARS-408 API", version="1.0")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Phase 2: 引入 /api/v2 时，v1 和 v2 可以共存</w:t>
      </w:r>
    </w:p>
    <w:p>
      <w:pPr>
        <w:pStyle w:val="Heading3"/>
      </w:pPr>
      <w: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)</w:t>
      </w:r>
    </w:p>
    <w:p>
      <w:pPr>
        <w:pStyle w:val="Heading3"/>
      </w:pPr>
      <w: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api/v1/learning/__init__.py  — 路由汇总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架构决策记录 (ADR)</w:t>
      </w:r>
    </w:p>
    <w:p>
      <w:pPr>
        <w:pStyle w:val="Heading3"/>
      </w:pPr>
      <w:r>
        <w:t>ADR-001: 选择模块化单体而非微服务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当前由 1 人开发（学生），同时应对软件杯和大创两个竞赛节点。系统已具备 10-Agent 流水线、FrugalRAG 检索、GoMARL 共识三大核心能力，代码量约 52 个 .py 文件。需要决定整体架构风格。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部署简单、调试容易、无网络开销、重构成本低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无法独立扩展单个模块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小团队、边界尚在演化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微服务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独立扩展、技术异构、故障隔离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分布式复杂度、运维成本高、网络延迟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大团队、清晰边界、独立扩展需求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松耦合、异步处理、可扩展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最终一致性、调试困难、事件演化难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异步工作流、系统间集成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团队规模（1 人）无法承担微服务的运维成本（服务发现、配置中心、分布式追踪、日志聚合）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当前模块边界尚在演化中，微服务的边界可能选错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模块化单体保留了未来拆分的可能性：只要模块间通过接口通信，拆分为微服务只需将进程内调用改为 HTTP/gRPC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软件杯 deadline（20 天）要求快速迭代，单体部署最简单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ADR-002: 嵌入计算职责从 DB 层上移到 Service 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DB.insert(text) → Engine.embed(text) → DB._store(vector)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Service.upload(text) → Engine.embed(text) → DB.insert(vector)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Service 层嵌入（选择）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→ Service → Engine.embed → DB.insert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依赖方向正确、可测试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层多一步调用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DB 层接收回调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DB.insert(text, embed_fn=engine.embed)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改动最小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层仍然知道嵌入逻辑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DB 层内置嵌入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内部调用嵌入服务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调用方最简单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循环依赖不解决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是唯一彻底解决循环依赖的方案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只是用回调掩盖了依赖方向问题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维持现状，不可接受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ADR-003: 依赖注入容器替代全局单例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await knowledge_service.search(query)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FastAPI Depends（选择）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利用 FastAPI 原生 DI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零依赖、文档自动生成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仅限于请求作用域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第三方 DI 框架 (dependency-injector)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IoC 容器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生命周期管理完善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额外依赖、学习成本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保持全局单例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不改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零改动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不可测试、不可替换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FastAPI 的 Depends 已经足够覆盖 90% 场景，不需要引入第三方框架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全局单例的最大问题是不可测试——这在 127 个测试中已经暴露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ADR-004: API 版本化策略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）。软件杯演示后如果需要修改 API 行为，无法保持向后兼容。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URL 路径版本化（选择）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/api/v1/...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直观、缓存友好、网关易路由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变长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Header 版本化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Accept-Version: v1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干净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不直观、缓存不友好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Query 参数版本化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?version=1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 RESTful、易遗漏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ADR-005: 代码沙箱安全策略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安全性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复杂度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延迟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Docker 容器（选择）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每次执行启动轻量容器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~2s 容器启动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nsjail / firejail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 命名空间隔离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&lt;0.5s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WASM 沙箱 (pyodide)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浏览器级隔离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~5s 冷启动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D. 保持 subprocess（当前）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sys.modules 拦截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&lt;0.1s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最成熟、文档最全、且 Docker 在教育场景可接受 2s 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仅限 Linux，Windows 不支持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过于前沿，pyodide 不支持全部 Python 库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ADR-006: 事件总线策略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handler):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ADR-007: 导入队列服务化（Import Queue Servitization）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进程内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store 变更（在线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CPU 重活（PDF 解析 / E5 编码 / OCR）经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/api/imports/jobs/{id}/cancel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详见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ADR-007 导入队列服务化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deliverables/engineering-assurance/ADR-007-import-queue-servitization.md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演进路线图</w:t>
      </w:r>
    </w:p>
    <w:p>
      <w:pPr>
        <w:pStyle w:val="Heading3"/>
      </w:pPr>
      <w:r>
        <w:t>Phase 1: Stabilize（现在 → 软件杯提交）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架构债务，为软件杯演示提供稳定基础。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对应债务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预计工时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修复循环依赖：嵌入职责上移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密钥迁移到环境变量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引入 DI 容器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拆分 learning.py → 4 个文件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 /v1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统一错误处理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LLMProvider 封装完善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3"/>
      </w:pPr>
      <w:r>
        <w:t>Phase 2: Scale（软件杯后 → 大创中期检查）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依赖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生产部署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Compose 部署 Milvus + etcd + minio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完成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全量迁移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画像/答题/Agent表现从 JSON/内存迁到 PG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四科语料导入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数据结构/计网/计组/OS 全量知识库导入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沙箱隔离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替换 subprocess 为容器执行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环境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事件总线 (Redis Stream)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异步任务：语料导入/索引重建/Critic 审阅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可观测性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 metrics + OpenTelemetry tracing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基础设施就绪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CORS 收紧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按域名白名单配置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前端域名确定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优化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改用 numpy .npy 二进制持久化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3"/>
      </w:pPr>
      <w:r>
        <w:t>Phase 3: Extract（大创后 → 未来生产化）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触发条件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 Service 拆分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检索独立部署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 QPS &gt; 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Infra Service 拆分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路由 + 嵌入独立部署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多服务共享 LLM 通道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水平扩展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无状态 API 层 + 负载均衡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 &gt; 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模型微调管道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SFT + GRPO 训练流程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数据积累充足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多租户支持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多学校/多班级隔离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商业化需求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A/B 测试框架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检索策略/Agent 配置实验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需要数据驱动优化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质量属性分析</w:t>
      </w:r>
    </w:p>
    <w:p>
      <w:pPr>
        <w:pStyle w:val="Heading3"/>
      </w:pPr>
      <w: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2)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3)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1-5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20-50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200+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1883 chunks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5000+ docs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50000+ docs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检索延迟 (P95)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~500ms (InMemory)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&lt;200ms (Milvus)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&lt;100ms (独立服务)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15-30s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10-20s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5-10s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3"/>
      </w:pPr>
      <w: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故障场景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当前行为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目标行为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InMemoryVectorStore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保持降级 + 告警 + 自动重连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全部不可用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 503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返回缓存结果 + 降级提示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JSON 文件 + 告警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降级到无缓存模式 + 告警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流水线超时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无超时控制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30s 超时 + 降级到简单模式</w:t>
            </w:r>
          </w:p>
        </w:tc>
      </w:tr>
    </w:tbl>
    <w:p>
      <w:pPr>
        <w:spacing w:after="40"/>
      </w:pPr>
    </w:p>
    <w:p>
      <w:pPr>
        <w:pStyle w:val="Heading3"/>
      </w:pPr>
      <w: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模块间循环依赖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 处 (db↔engines)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全局单例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 (全部 DI)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测试覆盖率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~70% (127 tests)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&gt;85%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最大文件行数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learning.py 366 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 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类型标注覆盖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~60%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&gt;90%</w:t>
            </w:r>
          </w:p>
        </w:tc>
      </w:tr>
    </w:tbl>
    <w:p>
      <w:pPr>
        <w:spacing w:after="40"/>
      </w:pPr>
    </w:p>
    <w:p>
      <w:pPr>
        <w:pStyle w:val="Heading3"/>
      </w:pPr>
      <w: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Phase 2 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日志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print() 散落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 JSON 日志 (structlog)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指标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Prometheus: QPS/延迟/错误率/LLM token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追踪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OpenTelemetry: 跨 Agent 节点 trace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告警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Grafana: Milvus/PG/Redis 健康 + LLM 可用性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概率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缓解措施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重构引入 regression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127 测试作为安全网 + 逐项重构 + 每步验证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部署复杂度超预期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作为永久回退方案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限流/费用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三通道路由 + Redis 缓存 + 降级策略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语料质量不足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建设方案文档已规划导入管道 + 质量校验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流水线延迟过长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 并行化 + 检索结果缓存 + 超时降级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软件杯演示时网络不稳定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本地部署 + 预录制作为 backup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模块边界演化过程中模糊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上下文地图文档 + 架构约束测试 + 定期评审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└── ...</w:t>
      </w:r>
    </w:p>
    <w:p>
      <w:pPr>
        <w:pStyle w:val="Heading2"/>
      </w:pPr>
      <w: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...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系统架构设计文档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