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软件需求规格说明书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之"软件需求规格说明书"章节结构编写。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对应赛题：中国软件杯 A3「基于大模型的个性化资源生成与学习多智能体系统开发」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本文档明确规定 MARS-408 系统的功能需求、性能需求、数据需求与运行环境，作为系统设计、开发、测试与验收的基线依据，供评审专家、开发团队与最终用户共同遵照。</w:t>
      </w:r>
    </w:p>
    <w:p>
      <w:pPr>
        <w:pStyle w:val="Heading3"/>
      </w:pPr>
      <w:r>
        <w:t>1.2 背景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项目委托方/用户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：备考计算机统考 408（数据结构、计算机组成原理、操作系统、计算机网络）的考研学生。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开发方</w:t>
      </w:r>
      <w:r>
        <w:rPr>
          <w:rFonts w:ascii="Calibri" w:hAnsi="Calibri" w:eastAsia="宋体"/>
          <w:b w:val="0"/>
          <w:i w:val="0"/>
          <w:color w:val="1A1A2E"/>
          <w:sz w:val="21"/>
        </w:rPr>
        <w:t>：MARS-408 研发团队。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业务痛点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：408 四科知识体量大、抽象度高，通用大模型缺乏"学情诊断—个性化资源生成—可信校验—路径规划"的闭环；且大模型存在幻觉风险，不适合直接作为教学结论来源。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系统定位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：基于大模型的个性化资源生成与学习多智能体系统，覆盖"诊断→规划→检索→生成→评估→校验→验收→规划"的完整学习链路。</w:t>
      </w:r>
    </w:p>
    <w:p>
      <w:pPr>
        <w:pStyle w:val="Heading3"/>
      </w:pPr>
      <w:r>
        <w:t>1.3 定义与缩写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缩写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全称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Large Language Model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MARL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Multi-Agent Reinforcement Learning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多智能体强化学习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Graph-Oriented MARL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图导向多智能体强化学习（含 NeuralMixer 与证据冲突消解）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 Retrieval-Augmented Generation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低成本检索增强生成（SFT+GRPO+ReAct）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CARS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Consensus-Aware Reward Shaping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共识感知奖励塑形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文本向量化嵌入模型（768 维）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计算机统考四科：数据结构/计组/OS/计网</w:t>
            </w:r>
          </w:p>
        </w:tc>
      </w:tr>
    </w:tbl>
    <w:p>
      <w:pPr>
        <w:spacing w:after="40"/>
      </w:pPr>
    </w:p>
    <w:p>
      <w:pPr>
        <w:pStyle w:val="Heading3"/>
      </w:pPr>
      <w:r>
        <w:t>1.4 参考资料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《中国软件杯 A3 赛题说明》（cnsoftbei.com）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GB 8567-88《计算机软件产品开发文件编制指南》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项目《系统架构设计文档》《技术方案说明书》《测试说明书》（同交付包）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任务概述</w:t>
      </w:r>
    </w:p>
    <w:p>
      <w:pPr>
        <w:pStyle w:val="Heading3"/>
      </w:pPr>
      <w:r>
        <w:t>2.1 目标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构建一个</w:t>
      </w:r>
      <w:r>
        <w:rPr>
          <w:rFonts w:ascii="Calibri" w:hAnsi="Calibri" w:eastAsia="宋体"/>
          <w:b/>
          <w:i w:val="0"/>
          <w:color w:val="1A1A2E"/>
          <w:sz w:val="21"/>
        </w:rPr>
        <w:t>可信、个性化、多模态</w:t>
      </w:r>
      <w:r>
        <w:rPr>
          <w:rFonts w:ascii="Calibri" w:hAnsi="Calibri" w:eastAsia="宋体"/>
          <w:b w:val="0"/>
          <w:i w:val="0"/>
          <w:color w:val="1A1A2E"/>
          <w:sz w:val="21"/>
        </w:rPr>
        <w:t>的 408 考研学习智能体系统：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基于用户学情画像生成个性化学习路径与 7 类学习资源；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通过多智能体编排与证据校验</w:t>
      </w:r>
      <w:r>
        <w:rPr>
          <w:rFonts w:ascii="Calibri" w:hAnsi="Calibri" w:eastAsia="宋体"/>
          <w:b/>
          <w:i w:val="0"/>
          <w:color w:val="1A1A2E"/>
          <w:sz w:val="21"/>
        </w:rPr>
        <w:t>抑制大模型幻觉</w:t>
      </w:r>
      <w:r>
        <w:rPr>
          <w:rFonts w:ascii="Calibri" w:hAnsi="Calibri" w:eastAsia="宋体"/>
          <w:b w:val="0"/>
          <w:i w:val="0"/>
          <w:color w:val="1A1A2E"/>
          <w:sz w:val="21"/>
        </w:rPr>
        <w:t>，保证教学结论可溯源；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融合讯飞开放平台 10 项 AI 能力，提供图片生成、数字人视频、智能 PPT 等多模态输出。</w:t>
      </w:r>
    </w:p>
    <w:p>
      <w:pPr>
        <w:pStyle w:val="Heading3"/>
      </w:pPr>
      <w:r>
        <w:t>2.2 用户特点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目标用户为计算机考研群体，具备基本计算机素养，但对四科深层原理掌握不均。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教师用户（teacher 角色）可进行知识库管理与审核。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系统需在交互上降低认知负荷，提供流式输出、Markdown 渲染与多模态卡片化呈现。</w:t>
      </w:r>
    </w:p>
    <w:p>
      <w:pPr>
        <w:pStyle w:val="Heading3"/>
      </w:pPr>
      <w:r>
        <w:t>2.3 假定与约束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算力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：后端可调用讯飞星火 X2（首选）与 DeepSeek（兜底）大模型 API。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数据</w:t>
      </w:r>
      <w:r>
        <w:rPr>
          <w:rFonts w:ascii="Calibri" w:hAnsi="Calibri" w:eastAsia="宋体"/>
          <w:b w:val="0"/>
          <w:i w:val="0"/>
          <w:color w:val="1A1A2E"/>
          <w:sz w:val="21"/>
        </w:rPr>
        <w:t>：知识库覆盖 408 四科教材与习题；向量嵌入使用本地 E5-base-v2（768 维）。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运行约束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：单进程后端（文件锁防止多实例写竞争）；开发期使用内存向量库，生产切换 Milvus。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需求规定</w:t>
      </w:r>
    </w:p>
    <w:p>
      <w:pPr>
        <w:pStyle w:val="Heading3"/>
      </w:pPr>
      <w:r>
        <w:t>3.1 功能需求</w:t>
      </w:r>
    </w:p>
    <w:p>
      <w:pPr>
        <w:pStyle w:val="Heading4"/>
      </w:pPr>
      <w:r>
        <w:t>3.1.1 多智能体编排（核心链路）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系统后端以 </w:t>
      </w:r>
      <w:r>
        <w:rPr>
          <w:rFonts w:ascii="Calibri" w:hAnsi="Calibri" w:eastAsia="宋体"/>
          <w:b/>
          <w:i w:val="0"/>
          <w:color w:val="1A1A2E"/>
          <w:sz w:val="21"/>
        </w:rPr>
        <w:t>10 节点 LangGraph `StateGraph`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编排，节点顺序与职责：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节点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全局协调与意图识别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diagnostician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学情诊断（基于画像与历史）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任务规划（拆解学习目标）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retriever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检索优化（FrugalRAG 召回）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generator_cluster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资源生成集群（7 并行子 Agent）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assessor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评估反馈（作答测评）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质量校验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evidence_check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证据校验（一致性 + 知识支撑度）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quality_gate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产物验收闸门（硬性阻断不合格产物）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path_planner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学习路径规划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资源生成集群（7 并行子 Agent）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：讲解文档(Doc) / 练习题库(Quiz) / 思维导图(MindMap) / 拓展阅读(Extension) / 代码实操(CodePractice) / PPT 大纲(PPT) / 视频脚本(VideoScript)。</w:t>
      </w:r>
    </w:p>
    <w:p>
      <w:pPr>
        <w:pStyle w:val="Heading4"/>
      </w:pPr>
      <w:r>
        <w:t>3.1.2 个性化资源生成（7 类资源）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系统须能根据用户目标知识点生成以下 7 种资源类型：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讲解文档　2. 练习题库　3. 思维导图　4. 拓展阅读　5. PPT 大纲　6. 代码实操案例　7. 审核报告。</w:t>
      </w:r>
    </w:p>
    <w:p>
      <w:pPr>
        <w:pStyle w:val="Heading4"/>
      </w:pPr>
      <w:r>
        <w:t>3.1.3 可信与防幻觉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跨 Agent 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节点调用冲突消解引擎，检出并消解 Agent 间事实冲突，输出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知识支撑度校验（grounding）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：将生成的讲解文档逐句与检索到的知识库分块做 E5 余弦相似度比对；当支撑度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score &lt; 0.30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或支撑句占比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&lt; 0.50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时标记为疑似幻觉（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potential_hallucination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），报告含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字段与最相关分块溯源证据。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无 E5 环境时自动降级（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grounding=None</w:t>
      </w:r>
      <w:r>
        <w:rPr>
          <w:rFonts w:ascii="Calibri" w:hAnsi="Calibri" w:eastAsia="宋体"/>
          <w:b w:val="0"/>
          <w:i w:val="0"/>
          <w:color w:val="1A1A2E"/>
          <w:sz w:val="21"/>
        </w:rPr>
        <w:t>），不影响主链路。</w:t>
      </w:r>
    </w:p>
    <w:p>
      <w:pPr>
        <w:pStyle w:val="Heading4"/>
      </w:pPr>
      <w:r>
        <w:t>3.1.4 多模态与讯飞能力融合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融合讯飞开放平台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：TTI 图片生成、图片理解、聚合搜索（万搜）、智能 PPT、数字人视频、文本纠错、公文校对、文本合规、星火角色模拟、智能简历。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在数字人视频就绪时调用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generate_real_video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写入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state["video_file"]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，并受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约束以避免阻塞主流程。</w:t>
      </w:r>
    </w:p>
    <w:p>
      <w:pPr>
        <w:pStyle w:val="Heading4"/>
      </w:pPr>
      <w:r>
        <w:t>3.1.5 知识图谱与学情画像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408 知识图谱按 group 编号分区：计网 1-7 / 数据结构 8-14 / 计组 15-21 / 操作系统 22-26（共 26 组，前后端编号一致）。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支持 8 维度学情画像与个性化路径推荐。</w:t>
      </w:r>
    </w:p>
    <w:p>
      <w:pPr>
        <w:pStyle w:val="Heading4"/>
      </w:pPr>
      <w:r>
        <w:t>3.1.6 用户与权限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支持普通用户与教师(teacher)角色；教师可管理知识库与审核资源。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LLM 调用按用户配额限流；会话按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隔离。</w:t>
      </w:r>
    </w:p>
    <w:p>
      <w:pPr>
        <w:pStyle w:val="Heading3"/>
      </w:pPr>
      <w:r>
        <w:t>3.2 性能需求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后端服务监听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；前端 Vite 开发服务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（生产构建静态托管）。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后端冷启动约 30s（加载向量库 + E5 嵌入），需以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curl -m 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探活。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流式响应须呈现打字光标与渐显动效；单资源生成主流程对数字人视频外部轮询最长等待 20s。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向量检索在本地内存库下对 2000+ 条知识分块亚秒级返回。</w:t>
      </w:r>
    </w:p>
    <w:p>
      <w:pPr>
        <w:pStyle w:val="Heading3"/>
      </w:pPr>
      <w:r>
        <w:t>3.3 输入 / 输出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：用户自然语言学习目标、作答、上传图片/文档；教师审核操作。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输出</w:t>
      </w:r>
      <w:r>
        <w:rPr>
          <w:rFonts w:ascii="Calibri" w:hAnsi="Calibri" w:eastAsia="宋体"/>
          <w:b w:val="0"/>
          <w:i w:val="0"/>
          <w:color w:val="1A1A2E"/>
          <w:sz w:val="21"/>
        </w:rPr>
        <w:t>：7 类学习资源（Markdown/结构化 JSON）、证据校验报告、学习路径、多模态产物（图片/PPT/视频）。</w:t>
      </w:r>
    </w:p>
    <w:p>
      <w:pPr>
        <w:pStyle w:val="Heading3"/>
      </w:pPr>
      <w:r>
        <w:t>3.4 数据管理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知识库：408 四科教材与习题，E5-base-v2 768 维向量化；开发期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(numpy)，生产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持久化：会话、画像、资源记录；密钥经脱敏仅存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>（不入库、不提交）。</w:t>
      </w:r>
    </w:p>
    <w:p>
      <w:pPr>
        <w:pStyle w:val="Heading3"/>
      </w:pPr>
      <w:r>
        <w:t>3.5 故障处理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检索为空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planner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重试；质量不达标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路由至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 API 失败 → 自动降级（DeepSeek 兜底、视频降级为脚本、PPT/图片降级提示）。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安全：沙箱 AST 拦截、密钥脱敏、错误脱敏、CORS 白名单、require_teacher。</w:t>
      </w:r>
    </w:p>
    <w:p>
      <w:pPr>
        <w:pStyle w:val="Heading3"/>
      </w:pPr>
      <w:r>
        <w:t>3.6 其他需求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前端遵循玻璃态发光设计系统（v8/v9 令牌），双主题（深/浅），禁用硬编码色值与 emoji 图标。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全程可观测：结构化日志、Prometheus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>、审计日志。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运行环境</w:t>
      </w:r>
    </w:p>
    <w:p>
      <w:pPr>
        <w:pStyle w:val="Heading3"/>
      </w:pPr>
      <w:r>
        <w:t>4.1 设备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服务端：x86_64，建议 8 核 16G，具备稳定外网访问（调用大模型 API）。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客户端：现代浏览器（Chrome/Edge/Firefox 最新版）。</w:t>
      </w:r>
    </w:p>
    <w:p>
      <w:pPr>
        <w:pStyle w:val="Heading3"/>
      </w:pPr>
      <w:r>
        <w:t>4.2 支持软件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后端：Python ≥ 3.12、FastAPI、LangGraph、NumPy、PyTorch(cpu)、E5 嵌入。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前端：Node.js ≥ 18、Vue 3、Vite、TypeScript。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生产向量库：Milvus（可选）。</w:t>
      </w:r>
    </w:p>
    <w:p>
      <w:pPr>
        <w:pStyle w:val="Heading3"/>
      </w:pPr>
      <w:r>
        <w:t>4.3 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 ↔ 后端：REST/WebSocket（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），Vite 代理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↔ 大模型/讯飞：HTTPS API（星火 X2 / DeepSeek / 讯飞开放平台 10 项）。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验收标准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端到端链路：输入学习目标 → 输出 ≥1 类个性化资源，且经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验收通过。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防幻觉：在构造的冲突/无支撑用例下，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能正确标记并溯源。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多模态：讯飞 10 能力中至少图片理解、智能 PPT、数字人视频可演示；视频生成不阻塞主流程（≤20s 降级）。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一致性：前后端知识图谱 group 编号 26 组完全一致；密钥不出现在交付包。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1A1A2E"/>
          <w:sz w:val="21"/>
        </w:rPr>
        <w:t>文档：本文档及概要设计、测试分析报告齐全，结构符合 GB 8567-88。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软件需求规格说明书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