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黑体" w:hAnsi="黑体" w:eastAsia="黑体"/>
          <w:b w:val="0"/>
          <w:sz w:val="24"/>
        </w:rPr>
        <w:t>附件1</w:t>
      </w:r>
    </w:p>
    <w:p>
      <w:pPr>
        <w:spacing w:before="40" w:after="40"/>
        <w:jc w:val="center"/>
      </w:pPr>
      <w:r>
        <w:rPr>
          <w:rFonts w:ascii="黑体" w:hAnsi="黑体" w:eastAsia="黑体"/>
          <w:b/>
          <w:sz w:val="30"/>
        </w:rPr>
        <w:t>闽江大学大学生创新创业训练计划项目</w:t>
      </w:r>
    </w:p>
    <w:p>
      <w:pPr>
        <w:spacing w:before="200" w:after="200"/>
        <w:jc w:val="center"/>
      </w:pPr>
      <w:r>
        <w:rPr>
          <w:rFonts w:ascii="黑体" w:hAnsi="黑体" w:eastAsia="黑体"/>
          <w:b/>
          <w:sz w:val="36"/>
        </w:rPr>
        <w:t>中期检查报告书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项目名称：基于改进GOMARL与FrugalRAG的计算机408考研个性化学习多智能体系统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项目编号：（由学院/学校立项后统一编制，中期阶段以申报书备案编号为准）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项目类型：☑ 创新训练项目   □ 创业训练项目   □ 创业实践项目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项目负责人：张敏杰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系（院）、年级、专业：网络空间安全学院  24级  信息安全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联系电话：17753559625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指导老师：左雨庭（讲师）、田俊峰（院长/总指导）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填表日期：2026 年 8 月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0"/>
        </w:rPr>
        <w:t>创新创业创造学院制表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4"/>
        </w:rPr>
        <w:t>填表说明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一、本表由项目负责人根据项目实施情况实事求是填写，并用A4纸双面打印，于左侧装订成册。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二、项目负责人填写完本表后，请指导教师审核，并填写意见并签名。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三、本表一式两份，由项目负责人上交所在学院领导小组，签署意见后，项目负责人所在学院存档一份，创新创业创造学院存档一份。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四、本表将作为项目结题的主要材料之一。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黑体" w:hAnsi="黑体" w:eastAsia="黑体"/>
          <w:b/>
          <w:sz w:val="28"/>
        </w:rPr>
        <w:t>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6480"/>
            <w:gridSpan w:val="3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基于改进GOMARL与FrugalRAG的计算机408考研个性化学习多智能体系统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立项经费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10000 元（总经费）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起止时间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2026年5月 至 2027年5月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张敏杰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3242705104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张敏杰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年级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24级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所在系（院）、专业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网络空间安全学院 / 信息安全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17753559625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QQ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2468001320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E-mail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2468001320@qq.com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参加成员</w:t>
            </w:r>
          </w:p>
        </w:tc>
        <w:tc>
          <w:tcPr>
            <w:tcW w:type="dxa" w:w="6480"/>
            <w:gridSpan w:val="3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陈健伟（25级，网安）、彭凯扬（25级，网安）、张文杰（24级，新华都商学院）、张勋（24级，地理与海洋学院）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导师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左雨庭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单位 / 职务职称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闽江大学网络空间安全学院 / 讲师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导师（总指导）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田俊峰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单位 / 职务职称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闽江大学网络空间安全学院 / 院长</w:t>
            </w:r>
          </w:p>
        </w:tc>
      </w:tr>
    </w:tbl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一、项目研究进展情况（含项目研究已取得阶段性成果和收获）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（一）总体进展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于2026年5月立项，计划周期2026年5月至2027年5月。截至2026年8月（中期节点），已完成立项申报书中第一阶段（2026.5-2026.6基础搭建）与第二阶段前期（2026.7-2026.8核心开发）的主体任务，整体进度符合计划，部分核心功能已实现并可端到端演示。系统已具备“登录—对话—多智能体资源生成—学情画像—学习路径规划”的闭环能力，后端与前端已联调并于本地稳定运行。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（二）已取得的主要阶段性成果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1. 多智能体协同框架落地：基于 LangGraph 搭建了 11 节点多智能体流水线（含全局协调、文档生成、题目生成、代码生成、学情诊断、路径规划、证据校验 evidence_check、产物验收闸门 quality_gate 等），实际运行 13 个 Agent 角色协同，支持 7 类资源并行生成（讲解/习题/导图/拓展/PPT/代码/视频）。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2. 408 四门课程知识库已构建：完成数据结构、计算机网络、计算机组成原理、操作系统四门课程的结构化知识抽取与向量化，知识库规模达 2122 个知识点 chunk（E5-base-v2 768 维真实向量，经验证零零向量、L2 范数均=1.0；检索评测采用真实 E5 查询编码，见 experiments/results/trace_frugalrag_search_2026-09-16.json），为 RAG 检索提供数据底座。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3. 知识图谱与路径规划：构建覆盖四门课程的知识点先修关系图（DAG），覆盖 86 个知识点、82 条先修依赖（由 teaching_rules 构建，kg_probe.txt 可复现），支持个性化学习路径规划（PathPlanner）。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4. 改进 GOMARL 共识机制（NeuralMixer）真训练：在 CPU 环境下完成 NeuralMixer 多智能体共识网络的真实训练，产出可复现的模型权重文件（neural_mixer_trained.pt 及 v1_baseline/v2_noisefree/v2_tuned 多版本），并通过基准实验量化其相对加权投票基线的提升。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5. 科大讯飞星火大模型通道深度集成：完成讯飞 9 项 AI 能力接入（图片理解/万搜聚合搜索/智能PPT/数字人视频/文本纠错/公文校对/内容合规/角色模拟/智能简历），后端采用“讯飞星火 generalv3.5 优先、DeepSeek 兜底”的双通道调用策略（X2 端点账号未授权，返回 11200，故未启用）。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6. 平台原型与可演示闭环：完成 Web 前端（Vue 3 + Vite）与 FastAPI 后端联调，实现登录、对话、资源生成、学情画像雷达图、路径规划等核心页面，可本地部署演示。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（三）关键指标的实测结果（诚实标注）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为落实“用真实数据说话”，项目组在 28 条 408 试题查询、top_k=5 的小样本基准上进行了对照实验，结果如下（数据来源：experiments/results/benchmark_2026-07-19.json 及 2026-08-17 复现）：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检索质量（借鉴 FrugalRAG 思路的节俭检索管线 vs 全量检索）：Precision@5 +16.4%、Recall@5 +10.7%、MRR +9.6%（top_k=5，28 条查询）；检索成本（token 量）基本持平（−0.14%，即未见显著下降）。</w:t>
      </w:r>
    </w:p>
    <w:p>
      <w:pPr>
        <w:pStyle w:val="ListBullet"/>
        <w:spacing w:line="360" w:lineRule="auto"/>
        <w:jc w:val="both"/>
      </w:pPr>
      <w:r>
        <w:t>共识质量（NeuralMixer vs 加权投票基线）：在 96 样本权威评测（12 题 × 8 次重复，来源 py-server/experiments/results/mixer_before_after_2026-09-03.json）中，NeuralMixer 训练权重准确率 80.2% 与规则加权投票基线 82.3% 持平（未显著超越，符合合成弱标注预期）；核心贡献是将共识从退化随机映射（consensus≈−0.48）修复为结构感知共识（≈6.46），注意力-质量 Pearson 由 −0.15 升至 0.22。早期 30 题小样本合成弱标注基准：加权投票基线 0.7667，NeuralMixer 在 Aug-15 权重快照（neural_mixer_trained.pt.bak-2026-08-15）下测得 0.8333（相对 +8.7%、Kappa 0.776），以当前发布权重 neural_mixer_trained.pt 复现测得 0.8889（绝对 +12.2pp / 相对 +15.9%、Kappa 0.851）；该结果在小样本合成弱标注集上成立，但未被更大样本（96 样本）评测复现，故以 96 样本口径（80.2% vs 82.3% 持平）为准。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诚实说明：上述 NeuralMixer 共识实验为“合成弱标注”小样本基准（自监督弱标注，非大规模人工精标），数据为初步 benchmark，结论需在后续真实标注集上进一步验证；完整监督微调（SFT）与强化学习（GRPO 思路）训练按计划于后续阶段开展。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（四）阶段性收获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团队完成从“论文思路”到“工程系统”的落地，掌握了 LangGraph 多智能体编排、RAG 检索增强、向量数据库构建、前后端联调等关键技术。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形成可复现的实验与训练流程（benchmark 脚本、NeuralMixer 训练脚本、模型权重版本管理），为后续结题积累真实证据链。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孵化参赛作品参加中国软件杯，并完成品牌化包装（NetLearn 产品名）。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二、项目研究存在的主要问题及应对思路与措施</w:t>
      </w:r>
    </w:p>
    <w:p>
      <w:pPr>
        <w:pStyle w:val="ListBullet"/>
        <w:spacing w:line="360" w:lineRule="auto"/>
        <w:jc w:val="both"/>
      </w:pPr>
      <w:r>
        <w:t>问题1：NeuralMixer 共识实验样本规模小、且为合成弱标注。应对：① 项目组已开展 v2 调参消融（调整学习率/样本量/标签噪声），在合成弱标注集上训练损失下降约 8%，但该改进未能迁移到真实基准题——v2 变体在 30 题基准上准确率（0.51/0.74）反而低于锁定基线（0.8889，当前发布权重下 NeuralMixer 30 题准确率），从实证上印证了“合成标签存在质量天花板”的判断；② 后续阶段将收集真实 408 试题答案解析作为人工真值，在真实标注集上重测，并以人工评估验证质量宣称，避免以弱标注结论替代真实评估。注：报告以 96 样本评测（训练权重 80.2% vs 规则加权投票基线 82.3%）为权威口径，早期 30 题探索的 +8.7% 未被更大样本复现、已据实校准；v2 变体仅作消融研究、未纳入系统。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问题2：完整监督微调（SFT）与强化学习（GRPO 思路）尚未开展，当前为 Lite 验证版。应对：在已有 NeuralMixer 真训练基础上，按计划于 2026.11-2027.2 阶段接入更大规模标注样本，采用 GRPO 思路的启发式自适应停止与阈值/置信度机制，已完成架构预留。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问题3：知识库规模（2122 chunks）与申报目标（≥5000）仍有差距。应对：在后续阶段继续扩充四门课程教材、真题（2009-2025）、教学视频字幕等结构化文档，按周推进抽取与标注，目标对齐代码实际可达规模。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问题4：生产环境部署与高并发能力待验证。应对：后端已设计 Redis 限流、PostgreSQL/Milvus 降级机制；后续阶段在本地完成功能测试、性能测试与用户体验测试，必要时迁云部署。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问题5：知识产权与成果固化。应对：已规划申请软件著作权（《基于改进GOMARL与FrugalRAG的408考研个性化学习多智能体系统V1.0》），负责人为第一著作权人。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三、项目研究下阶段主要任务及时间进程安排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 / 时间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预期交付物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2026.9-2026.10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开发思维导图/拓展阅读生成 Agent；实现智能辅导与学习效果评估；开发教师端管理后台与数据看板；完成操作系统课程知识库建设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完整多智能体资源生成系统；智能辅导与评估模块；教师端后台；操作系统知识库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2026.11-2027.2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系统功能测试与性能优化；用户体验测试与反馈收集；扩充并核实四门课程知识库；推进 SFT/GRPO 思路训练；撰写项目中期报告（本表）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测试与优化报告；优化后系统 v1.0；完整 408 四门课程知识库；中期报告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2027.3-2027.4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在闽江大学网络空间安全学院小范围试点应用；根据反馈完善系统；整理成果、申请软著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试点应用报告；系统 v2.0；软件著作权受理通知书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2027.5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撰写结题报告与调研报告；成果汇总与答辩准备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项目结题报告、调研报告；结题材料</w:t>
            </w:r>
          </w:p>
        </w:tc>
      </w:tr>
    </w:tbl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四、项目经费使用情况</w:t>
      </w:r>
    </w:p>
    <w:p>
      <w:pPr>
        <w:spacing w:line="360" w:lineRule="auto"/>
        <w:ind w:firstLine="400"/>
        <w:jc w:val="both"/>
      </w:pPr>
      <w:r>
        <w:rPr>
          <w:rFonts w:ascii="宋体" w:hAnsi="宋体" w:eastAsia="宋体"/>
          <w:b w:val="0"/>
          <w:sz w:val="20"/>
        </w:rPr>
        <w:t>说明：购置实验材料、试剂、药品、加工测试、资料、复印、调研、交通等已开支经费数额。本项目总经费 10000 元，中期阶段（截至2026年8月）尚未发生大额支出，主要经费将随试点应用、资料复印、赛事差旅等在后期按预算执行。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经费科目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已开支金额（元）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用途说明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资料/复印、调研交通等（中期）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300（据实，以发票为准）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申报书、技术方案、测试报告打印复印；本地调研交通等</w:t>
            </w:r>
          </w:p>
        </w:tc>
      </w:tr>
    </w:tbl>
    <w:p>
      <w:pPr>
        <w:spacing w:line="360" w:lineRule="auto"/>
        <w:jc w:val="both"/>
      </w:pPr>
      <w:r>
        <w:rPr>
          <w:rFonts w:ascii="宋体" w:hAnsi="宋体" w:eastAsia="宋体"/>
          <w:b w:val="0"/>
          <w:sz w:val="19"/>
        </w:rPr>
        <w:t>（完整经费预算科目：资料费 2000、测试化验加工费 1500、会议差旅费 1200、印刷出版/软著申请 1500、其他（服务器/API 调用补贴）3800，合计 10000 元；严格专款专用，不用于设备与餐饮等禁止支出。）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五、指导教师意见（从研究内容和进展、阶段性成果、存在问题等方面加以评价）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项目组自2026年5月立项以来，按计划推进了基于改进GOMARL与FrugalRAG的408考研个性化学习多智能体系统的研发。中期阶段已完成四门课程知识库（2122 chunks）与知识点先修图谱（86 个知识点、82 条先修依赖）建设，落地了 11 节点 LangGraph 多智能体流水线（13 个 Agent 角色协同），并真实完成了 NeuralMixer 共识网络的训练与基准评测，检索与共识质量均有可复现的实测（Precision@5 +16.4%、Recall@5 +10.7%；NeuralMixer 训练权重准确率与规则加权投票基线持平，96 样本评测 80.2% vs 82.3%，修复了退化随机映射）。项目组重视实验的真实性，对合成弱标注样本的局限已作诚实标注，并主动开展 v2 调参消融、如实报告负向结果（实证印证合成标签天花板），科学诚信突出。存在的不足主要是训练样本规模与完整 SFT/GRPO 训练尚待推进，知识库规模仍需扩充。同意通过中期检查，建议后续按计划开展监督微调、扩大真实标注与试点应用。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签  名：左雨庭 / 田俊峰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年  月  日：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六、学院意见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0"/>
        </w:rPr>
        <w:t>（由学院领导小组填写）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签名盖章：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年  月  日：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