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软件需求规格说明书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之"软件需求规格说明书"章节结构编写。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芒得很职 多智能体个性化学习系统（芒得很职）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对应方向：基于大模型的个性化资源生成与学习多智能体系统（国创赛·高教主赛道·创意组 参赛作品）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引言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编写目的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本文档明确规定 芒得很职 系统的功能需求、性能需求、数据需求与运行环境，作为系统设计、开发、测试与验收的基线依据，供评审专家、开发团队与最终用户共同遵照。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背景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项目委托方/用户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：备考计算机统考 408（数据结构、计算机组成原理、操作系统、计算机网络）的考研学生。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开发方</w:t>
      </w:r>
      <w:r>
        <w:rPr>
          <w:rFonts w:ascii="Calibri" w:hAnsi="Calibri" w:eastAsia="宋体"/>
          <w:b w:val="0"/>
          <w:i w:val="0"/>
          <w:color w:val="1A1A2E"/>
          <w:sz w:val="21"/>
        </w:rPr>
        <w:t>：芒得很职 研发团队。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业务痛点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：408 四科知识体量大、抽象度高，通用大模型缺乏"学情诊断—个性化资源生成—可信校验—路径规划"的闭环；且大模型存在幻觉风险，不适合直接作为教学结论来源。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系统定位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：基于大模型的个性化资源生成与学习多智能体系统，覆盖"诊断→规划→检索→生成→评估→校验→验收→规划"的完整学习链路。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1.3 定义与缩写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缩写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全称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Large Language Model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Multi-Agent Reinforcement Learning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多智能体强化学习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Graph-Oriented MARL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图导向多智能体强化学习（含 NeuralMixer 与证据冲突消解）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 Retrieval-Augmented Generation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低成本检索增强生成（SFT+GRPO+ReAct）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CARS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Consensus-Aware Reward Shaping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共识感知奖励塑形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文本向量化嵌入模型（768 维）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计算机统考四科：数据结构/计组/OS/计网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1.4 参考资料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《A3 赛题说明》（cnsoftbei.com，项目建设初期的方向依据）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GB 8567-88《计算机软件产品开发文件编制指南》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项目《系统架构设计文档》《技术方案说明书》《测试说明书》（同交付包）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任务概述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目标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构建一个</w:t>
      </w:r>
      <w:r>
        <w:rPr>
          <w:rFonts w:ascii="Calibri" w:hAnsi="Calibri" w:eastAsia="宋体"/>
          <w:b/>
          <w:i w:val="0"/>
          <w:color w:val="1A1A2E"/>
          <w:sz w:val="21"/>
        </w:rPr>
        <w:t>可信、个性化、多模态</w:t>
      </w:r>
      <w:r>
        <w:rPr>
          <w:rFonts w:ascii="Calibri" w:hAnsi="Calibri" w:eastAsia="宋体"/>
          <w:b w:val="0"/>
          <w:i w:val="0"/>
          <w:color w:val="1A1A2E"/>
          <w:sz w:val="21"/>
        </w:rPr>
        <w:t>的 408 考研学习智能体系统：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基于用户学情画像生成个性化学习路径与 7 类学习资源；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通过多智能体编排与证据校验</w:t>
      </w:r>
      <w:r>
        <w:rPr>
          <w:rFonts w:ascii="Calibri" w:hAnsi="Calibri" w:eastAsia="宋体"/>
          <w:b/>
          <w:i w:val="0"/>
          <w:color w:val="1A1A2E"/>
          <w:sz w:val="21"/>
        </w:rPr>
        <w:t>抑制大模型幻觉</w:t>
      </w:r>
      <w:r>
        <w:rPr>
          <w:rFonts w:ascii="Calibri" w:hAnsi="Calibri" w:eastAsia="宋体"/>
          <w:b w:val="0"/>
          <w:i w:val="0"/>
          <w:color w:val="1A1A2E"/>
          <w:sz w:val="21"/>
        </w:rPr>
        <w:t>，保证教学结论可溯源；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融合讯飞开放平台 10 项 AI 能力，提供图片生成、数字人视频、智能 PPT 等多模态输出。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用户特点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目标用户为计算机考研群体，具备基本计算机素养，但对四科深层原理掌握不均。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教师用户（teacher 角色）可进行知识库管理与审核。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系统需在交互上降低认知负荷，提供流式输出、Markdown 渲染与多模态卡片化呈现。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2.3 假定与约束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算力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：后端可调用讯飞星火 X2（首选）与 DeepSeek（兜底）大模型 API。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数据</w:t>
      </w:r>
      <w:r>
        <w:rPr>
          <w:rFonts w:ascii="Calibri" w:hAnsi="Calibri" w:eastAsia="宋体"/>
          <w:b w:val="0"/>
          <w:i w:val="0"/>
          <w:color w:val="1A1A2E"/>
          <w:sz w:val="21"/>
        </w:rPr>
        <w:t>：知识库覆盖 408 四科教材与习题；向量嵌入使用本地 E5-base-v2（768 维）。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运行约束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：单进程后端（文件锁防止多实例写竞争）；开发期使用内存向量库，生产切换 Milvus。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需求规定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功能需求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3.1.1 多智能体编排（核心链路）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系统后端以 </w:t>
      </w:r>
      <w:r>
        <w:rPr>
          <w:rFonts w:ascii="Calibri" w:hAnsi="Calibri" w:eastAsia="宋体"/>
          <w:b/>
          <w:i w:val="0"/>
          <w:color w:val="1A1A2E"/>
          <w:sz w:val="21"/>
        </w:rPr>
        <w:t>11 节点 LangGraph `StateGraph`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编排，节点顺序与职责：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序号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节点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triage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请求分诊（零 LLM 成本分类与 low 短路快路径）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coordinator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全局协调与意图识别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diagnostician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学情诊断（基于画像与历史）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planner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任务规划（拆解学习目标）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retriever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检索优化（FrugalRAG 召回）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generator_cluster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资源生成集群（7 并行子 Agent）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assessor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评估反馈（作答测评）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critic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质量校验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evidence_check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证据校验（一致性 + 知识支撑度）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quality_gate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产物验收闸门（硬性阻断不合格产物）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path_planner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学习路径规划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资源生成集群（7 并行子 Agent）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：讲解文档(Doc) / 练习题库(Quiz) / 思维导图(MindMap) / 拓展阅读(Extension) / 代码实操(CodePractice) / PPT 大纲(PPT) / 视频脚本(VideoScript)。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3.1.2 个性化资源生成（7 类资源）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系统须能根据用户目标知识点生成以下 7 种资源类型：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讲解文档　2. 练习题库　3. 思维导图　4. 拓展阅读　5. PPT 大纲　6. 代码实操案例　7. 审核报告。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3.1.3 可信与防幻觉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跨 Agent 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节点调用冲突消解引擎，检出并消解 Agent 间事实冲突，输出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知识支撑度校验（grounding）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：将生成的讲解文档逐句与检索到的知识库分块做 E5 余弦相似度比对；当支撑度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score &lt; 0.30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或支撑句占比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&lt; 0.50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时标记为疑似幻觉（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potential_hallucination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），报告含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grounding_flagged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字段与最相关分块溯源证据。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无 E5 环境时自动降级（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grounding=None</w:t>
      </w:r>
      <w:r>
        <w:rPr>
          <w:rFonts w:ascii="Calibri" w:hAnsi="Calibri" w:eastAsia="宋体"/>
          <w:b w:val="0"/>
          <w:i w:val="0"/>
          <w:color w:val="1A1A2E"/>
          <w:sz w:val="21"/>
        </w:rPr>
        <w:t>），不影响主链路。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3.1.4 多模态与讯飞能力融合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融合讯飞开放平台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：TTI 图片生成、图片理解、聚合搜索（万搜）、智能 PPT、数字人视频、文本纠错、公文校对、文本合规、星火角色模拟、智能简历。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在数字人视频就绪时调用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generate_real_video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写入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state["video_file"]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，并受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asyncio.wait_for(timeout=20)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约束以避免阻塞主流程。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3.1.5 知识图谱与学情画像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408 知识图谱按 group 编号分区：计网 1-7 / 数据结构 8-14 / 计组 15-21 / 操作系统 22-26（共 26 组，前后端编号一致）。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支持 8 维度学情画像与个性化路径推荐。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3.1.6 用户与权限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支持普通用户与教师(teacher)角色；教师可管理知识库与审核资源。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LLM 调用按用户配额限流；会话按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user_id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隔离。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性能需求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后端服务监听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127.0.0.1:8002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；前端 Vite 开发服务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5173</w:t>
      </w:r>
      <w:r>
        <w:rPr>
          <w:rFonts w:ascii="Calibri" w:hAnsi="Calibri" w:eastAsia="宋体"/>
          <w:b w:val="0"/>
          <w:i w:val="0"/>
          <w:color w:val="1A1A2E"/>
          <w:sz w:val="21"/>
        </w:rPr>
        <w:t>（生产构建静态托管）。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后端冷启动约 30s（加载向量库 + E5 嵌入），需以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curl -m 30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探活。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流式响应须呈现打字光标与渐显动效；单资源生成主流程对数字人视频外部轮询最长等待 20s。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向量检索在本地内存库下对 2000+ 条知识分块亚秒级返回。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输入 / 输出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输入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：用户自然语言学习目标、作答、上传图片/文档；教师审核操作。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输出</w:t>
      </w:r>
      <w:r>
        <w:rPr>
          <w:rFonts w:ascii="Calibri" w:hAnsi="Calibri" w:eastAsia="宋体"/>
          <w:b w:val="0"/>
          <w:i w:val="0"/>
          <w:color w:val="1A1A2E"/>
          <w:sz w:val="21"/>
        </w:rPr>
        <w:t>：7 类学习资源（Markdown/结构化 JSON）、证据校验报告、学习路径、多模态产物（图片/PPT/视频）。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3.4 数据管理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知识库：408 四科教材与习题，E5-base-v2 768 维向量化；开发期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(numpy)，生产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Milvus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持久化：会话、画像、资源记录；密钥经脱敏仅存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.env</w:t>
      </w:r>
      <w:r>
        <w:rPr>
          <w:rFonts w:ascii="Calibri" w:hAnsi="Calibri" w:eastAsia="宋体"/>
          <w:b w:val="0"/>
          <w:i w:val="0"/>
          <w:color w:val="1A1A2E"/>
          <w:sz w:val="21"/>
        </w:rPr>
        <w:t>（不入库、不提交）。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3.5 故障处理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检索为空 →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planner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重试；质量不达标 →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路由至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重试。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外部 API 失败 → 自动降级（DeepSeek 兜底、视频降级为脚本、PPT/图片降级提示）。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安全：沙箱 AST 拦截、密钥脱敏、错误脱敏、CORS 白名单、require_teacher。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3.6 其他需求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前端遵循玻璃态发光设计系统（v8/v9 令牌），双主题（深/浅），禁用硬编码色值与 emoji 图标。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全程可观测：结构化日志、Prometheus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/metrics</w:t>
      </w:r>
      <w:r>
        <w:rPr>
          <w:rFonts w:ascii="Calibri" w:hAnsi="Calibri" w:eastAsia="宋体"/>
          <w:b w:val="0"/>
          <w:i w:val="0"/>
          <w:color w:val="1A1A2E"/>
          <w:sz w:val="21"/>
        </w:rPr>
        <w:t>、审计日志。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运行环境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设备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服务端：x86_64，建议 8 核 16G，具备稳定外网访问（调用大模型 API）。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客户端：现代浏览器（Chrome/Edge/Firefox 最新版）。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支持软件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后端：Python ≥ 3.12、FastAPI、LangGraph、NumPy、PyTorch(cpu)、E5 嵌入。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前端：Node.js ≥ 18、Vue 3、Vite、TypeScript。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生产向量库：Milvus（可选）。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接口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前端 ↔ 后端：REST/WebSocket（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/api/*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），Vite 代理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 → :8002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后端 ↔ 大模型/讯飞：HTTPS API（星火 X2 / DeepSeek / 讯飞开放平台 10 项）。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验收标准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端到端链路：输入学习目标 → 输出 ≥1 类个性化资源，且经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quality_gate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验收通过。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防幻觉：在构造的冲突/无支撑用例下，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能正确标记并溯源。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多模态：讯飞 10 能力中至少图片理解、智能 PPT、数字人视频可演示；视频生成不阻塞主流程（≤20s 降级）。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一致性：前后端知识图谱 group 编号 26 组完全一致；密钥不出现在交付包。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文档：本文档及概要设计、测试分析报告齐全，结构符合 GB 8567-88。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