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黑体" w:hAnsi="黑体" w:eastAsia="黑体"/>
          <w:b w:val="0"/>
          <w:sz w:val="24"/>
        </w:rPr>
        <w:t>附件1</w:t>
      </w:r>
    </w:p>
    <w:p>
      <w:pPr>
        <w:spacing w:before="40" w:after="40"/>
        <w:jc w:val="center"/>
      </w:pPr>
      <w:r>
        <w:rPr>
          <w:rFonts w:ascii="黑体" w:hAnsi="黑体" w:eastAsia="黑体"/>
          <w:b/>
          <w:sz w:val="30"/>
        </w:rPr>
        <w:t>闽江学院大学生创新创业训练计划项目</w:t>
      </w:r>
    </w:p>
    <w:p>
      <w:pPr>
        <w:spacing w:before="200" w:after="200"/>
        <w:jc w:val="center"/>
      </w:pPr>
      <w:r>
        <w:rPr>
          <w:rFonts w:ascii="黑体" w:hAnsi="黑体" w:eastAsia="黑体"/>
          <w:b/>
          <w:sz w:val="36"/>
        </w:rPr>
        <w:t>中期检查报告书</w:t>
      </w:r>
    </w:p>
    <w:p>
      <w:pPr>
        <w:spacing w:line="360" w:lineRule="auto"/>
        <w:jc w:val="left"/>
      </w:pPr>
      <w:r>
        <w:rPr>
          <w:rFonts w:ascii="宋体" w:hAnsi="宋体" w:eastAsia="宋体"/>
          <w:b/>
          <w:sz w:val="21"/>
        </w:rPr>
        <w:t>项目名称：基于改进GOMARL与FrugalRAG的计算机408考研个性化学习多智能体系统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  <w:sz w:val="21"/>
        </w:rPr>
        <w:t>项目编号：（由学院/学校立项后统一编制，中期阶段以申报书备案编号为准）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  <w:sz w:val="21"/>
        </w:rPr>
        <w:t>项目类型：☑ 创新训练项目   □ 创业训练项目   □ 创业实践项目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  <w:sz w:val="21"/>
        </w:rPr>
        <w:t>项目负责人：张敏杰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  <w:sz w:val="21"/>
        </w:rPr>
        <w:t>系（院）、年级、专业：网络空间安全学院  24级  信息安全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  <w:sz w:val="21"/>
        </w:rPr>
        <w:t>联系电话：17753559625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  <w:sz w:val="21"/>
        </w:rPr>
        <w:t>指导老师：左雨庭（讲师）、田俊峰（院长/总指导）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  <w:sz w:val="21"/>
        </w:rPr>
        <w:t>填表日期：2026 年 8 月</w:t>
      </w:r>
    </w:p>
    <w:p>
      <w:pPr>
        <w:spacing w:line="360" w:lineRule="auto"/>
        <w:jc w:val="center"/>
      </w:pPr>
      <w:r>
        <w:rPr>
          <w:rFonts w:ascii="宋体" w:hAnsi="宋体" w:eastAsia="宋体"/>
          <w:b w:val="0"/>
          <w:sz w:val="20"/>
        </w:rPr>
        <w:t>创新创业创造学院制表</w:t>
      </w:r>
    </w:p>
    <w:p>
      <w:pPr>
        <w:spacing w:before="240" w:after="120"/>
        <w:jc w:val="center"/>
      </w:pPr>
      <w:r>
        <w:rPr>
          <w:rFonts w:ascii="黑体" w:hAnsi="黑体" w:eastAsia="黑体"/>
          <w:b/>
          <w:sz w:val="24"/>
        </w:rPr>
        <w:t>填表说明</w:t>
      </w:r>
    </w:p>
    <w:p>
      <w:pPr>
        <w:spacing w:line="360" w:lineRule="auto"/>
        <w:jc w:val="both"/>
      </w:pPr>
      <w:r>
        <w:rPr>
          <w:rFonts w:ascii="宋体" w:hAnsi="宋体" w:eastAsia="宋体"/>
          <w:b w:val="0"/>
          <w:sz w:val="20"/>
        </w:rPr>
        <w:t>一、本表由项目负责人根据项目实施情况实事求是填写，并用A4纸双面打印，于左侧装订成册。</w:t>
      </w:r>
    </w:p>
    <w:p>
      <w:pPr>
        <w:spacing w:line="360" w:lineRule="auto"/>
        <w:jc w:val="both"/>
      </w:pPr>
      <w:r>
        <w:rPr>
          <w:rFonts w:ascii="宋体" w:hAnsi="宋体" w:eastAsia="宋体"/>
          <w:b w:val="0"/>
          <w:sz w:val="20"/>
        </w:rPr>
        <w:t>二、项目负责人填写完本表后，请指导教师审核，并填写意见并签名。</w:t>
      </w:r>
    </w:p>
    <w:p>
      <w:pPr>
        <w:spacing w:line="360" w:lineRule="auto"/>
        <w:jc w:val="both"/>
      </w:pPr>
      <w:r>
        <w:rPr>
          <w:rFonts w:ascii="宋体" w:hAnsi="宋体" w:eastAsia="宋体"/>
          <w:b w:val="0"/>
          <w:sz w:val="20"/>
        </w:rPr>
        <w:t>三、本表一式两份，由项目负责人上交所在学院领导小组，签署意见后，项目负责人所在学院存档一份，创新创业创造学院存档一份。</w:t>
      </w:r>
    </w:p>
    <w:p>
      <w:pPr>
        <w:spacing w:line="360" w:lineRule="auto"/>
        <w:jc w:val="both"/>
      </w:pPr>
      <w:r>
        <w:rPr>
          <w:rFonts w:ascii="宋体" w:hAnsi="宋体" w:eastAsia="宋体"/>
          <w:b w:val="0"/>
          <w:sz w:val="20"/>
        </w:rPr>
        <w:t>四、本表将作为项目结题的主要材料之一。</w:t>
      </w:r>
    </w:p>
    <w:p>
      <w:r>
        <w:br w:type="page"/>
      </w:r>
    </w:p>
    <w:p>
      <w:pPr>
        <w:spacing w:before="0" w:after="120"/>
        <w:jc w:val="center"/>
      </w:pPr>
      <w:r>
        <w:rPr>
          <w:rFonts w:ascii="黑体" w:hAnsi="黑体" w:eastAsia="黑体"/>
          <w:b/>
          <w:sz w:val="28"/>
        </w:rPr>
        <w:t>项目基本信息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line="300" w:lineRule="auto"/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项目名称</w:t>
            </w:r>
          </w:p>
        </w:tc>
        <w:tc>
          <w:tcPr>
            <w:tcW w:type="dxa" w:w="6480"/>
            <w:gridSpan w:val="3"/>
          </w:tcPr>
          <w:p>
            <w:pPr>
              <w:spacing w:line="300" w:lineRule="auto"/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基于改进GOMARL与FrugalRAG的计算机408考研个性化学习多智能体系统</w:t>
            </w:r>
          </w:p>
        </w:tc>
      </w:tr>
      <w:tr>
        <w:tc>
          <w:tcPr>
            <w:tcW w:type="dxa" w:w="2160"/>
          </w:tcPr>
          <w:p>
            <w:pPr>
              <w:spacing w:line="300" w:lineRule="auto"/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立项经费</w:t>
            </w:r>
          </w:p>
        </w:tc>
        <w:tc>
          <w:tcPr>
            <w:tcW w:type="dxa" w:w="2160"/>
          </w:tcPr>
          <w:p>
            <w:pPr>
              <w:spacing w:line="30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10000 元（总经费）</w:t>
            </w:r>
          </w:p>
        </w:tc>
        <w:tc>
          <w:tcPr>
            <w:tcW w:type="dxa" w:w="2160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起止时间</w:t>
            </w:r>
          </w:p>
        </w:tc>
        <w:tc>
          <w:tcPr>
            <w:tcW w:type="dxa" w:w="2160"/>
          </w:tcPr>
          <w:p>
            <w:pPr>
              <w:spacing w:line="30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2026年5月 至 2027年5月</w:t>
            </w:r>
          </w:p>
        </w:tc>
      </w:tr>
      <w:tr>
        <w:tc>
          <w:tcPr>
            <w:tcW w:type="dxa" w:w="2160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负责人</w:t>
            </w:r>
          </w:p>
        </w:tc>
        <w:tc>
          <w:tcPr>
            <w:tcW w:type="dxa" w:w="2160"/>
          </w:tcPr>
          <w:p>
            <w:pPr>
              <w:spacing w:line="30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张敏杰</w:t>
            </w:r>
          </w:p>
        </w:tc>
        <w:tc>
          <w:tcPr>
            <w:tcW w:type="dxa" w:w="2160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学号</w:t>
            </w:r>
          </w:p>
        </w:tc>
        <w:tc>
          <w:tcPr>
            <w:tcW w:type="dxa" w:w="2160"/>
          </w:tcPr>
          <w:p>
            <w:pPr>
              <w:spacing w:line="30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3242705104</w:t>
            </w:r>
          </w:p>
        </w:tc>
      </w:tr>
      <w:tr>
        <w:tc>
          <w:tcPr>
            <w:tcW w:type="dxa" w:w="2160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姓名</w:t>
            </w:r>
          </w:p>
        </w:tc>
        <w:tc>
          <w:tcPr>
            <w:tcW w:type="dxa" w:w="2160"/>
          </w:tcPr>
          <w:p>
            <w:pPr>
              <w:spacing w:line="30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张敏杰</w:t>
            </w:r>
          </w:p>
        </w:tc>
        <w:tc>
          <w:tcPr>
            <w:tcW w:type="dxa" w:w="2160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年级</w:t>
            </w:r>
          </w:p>
        </w:tc>
        <w:tc>
          <w:tcPr>
            <w:tcW w:type="dxa" w:w="2160"/>
          </w:tcPr>
          <w:p>
            <w:pPr>
              <w:spacing w:line="30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24级</w:t>
            </w:r>
          </w:p>
        </w:tc>
      </w:tr>
      <w:tr>
        <w:tc>
          <w:tcPr>
            <w:tcW w:type="dxa" w:w="2160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所在系（院）、专业</w:t>
            </w:r>
          </w:p>
        </w:tc>
        <w:tc>
          <w:tcPr>
            <w:tcW w:type="dxa" w:w="2160"/>
          </w:tcPr>
          <w:p>
            <w:pPr>
              <w:spacing w:line="30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网络空间安全学院 / 信息安全</w:t>
            </w:r>
          </w:p>
        </w:tc>
        <w:tc>
          <w:tcPr>
            <w:tcW w:type="dxa" w:w="2160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联系电话</w:t>
            </w:r>
          </w:p>
        </w:tc>
        <w:tc>
          <w:tcPr>
            <w:tcW w:type="dxa" w:w="2160"/>
          </w:tcPr>
          <w:p>
            <w:pPr>
              <w:spacing w:line="30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17753559625</w:t>
            </w:r>
          </w:p>
        </w:tc>
      </w:tr>
      <w:tr>
        <w:tc>
          <w:tcPr>
            <w:tcW w:type="dxa" w:w="2160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QQ</w:t>
            </w:r>
          </w:p>
        </w:tc>
        <w:tc>
          <w:tcPr>
            <w:tcW w:type="dxa" w:w="2160"/>
          </w:tcPr>
          <w:p>
            <w:pPr>
              <w:spacing w:line="30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2468001320</w:t>
            </w:r>
          </w:p>
        </w:tc>
        <w:tc>
          <w:tcPr>
            <w:tcW w:type="dxa" w:w="2160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E-mail</w:t>
            </w:r>
          </w:p>
        </w:tc>
        <w:tc>
          <w:tcPr>
            <w:tcW w:type="dxa" w:w="2160"/>
          </w:tcPr>
          <w:p>
            <w:pPr>
              <w:spacing w:line="30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2468001320@qq.com</w:t>
            </w:r>
          </w:p>
        </w:tc>
      </w:tr>
      <w:tr>
        <w:tc>
          <w:tcPr>
            <w:tcW w:type="dxa" w:w="2160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参加成员</w:t>
            </w:r>
          </w:p>
        </w:tc>
        <w:tc>
          <w:tcPr>
            <w:tcW w:type="dxa" w:w="6480"/>
            <w:gridSpan w:val="3"/>
          </w:tcPr>
          <w:p>
            <w:pPr>
              <w:spacing w:line="30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陈健伟（25级，网安）、彭凯扬（25级，网安）、张文杰（24级，新华都商学院）、张勋（24级，地理与海洋学院）</w:t>
            </w:r>
          </w:p>
        </w:tc>
      </w:tr>
      <w:tr>
        <w:tc>
          <w:tcPr>
            <w:tcW w:type="dxa" w:w="2160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导师</w:t>
            </w:r>
          </w:p>
        </w:tc>
        <w:tc>
          <w:tcPr>
            <w:tcW w:type="dxa" w:w="2160"/>
          </w:tcPr>
          <w:p>
            <w:pPr>
              <w:spacing w:line="30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左雨庭</w:t>
            </w:r>
          </w:p>
        </w:tc>
        <w:tc>
          <w:tcPr>
            <w:tcW w:type="dxa" w:w="2160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单位 / 职务职称</w:t>
            </w:r>
          </w:p>
        </w:tc>
        <w:tc>
          <w:tcPr>
            <w:tcW w:type="dxa" w:w="2160"/>
          </w:tcPr>
          <w:p>
            <w:pPr>
              <w:spacing w:line="30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闽江大学网络空间安全学院 / 讲师</w:t>
            </w:r>
          </w:p>
        </w:tc>
      </w:tr>
      <w:tr>
        <w:tc>
          <w:tcPr>
            <w:tcW w:type="dxa" w:w="2160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导师（总指导）</w:t>
            </w:r>
          </w:p>
        </w:tc>
        <w:tc>
          <w:tcPr>
            <w:tcW w:type="dxa" w:w="2160"/>
          </w:tcPr>
          <w:p>
            <w:pPr>
              <w:spacing w:line="30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田俊峰</w:t>
            </w:r>
          </w:p>
        </w:tc>
        <w:tc>
          <w:tcPr>
            <w:tcW w:type="dxa" w:w="2160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单位 / 职务职称</w:t>
            </w:r>
          </w:p>
        </w:tc>
        <w:tc>
          <w:tcPr>
            <w:tcW w:type="dxa" w:w="2160"/>
          </w:tcPr>
          <w:p>
            <w:pPr>
              <w:spacing w:line="30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闽江大学网络空间安全学院 / 院长</w:t>
            </w:r>
          </w:p>
        </w:tc>
      </w:tr>
    </w:tbl>
    <w:p>
      <w:pPr>
        <w:spacing w:before="240" w:after="120"/>
        <w:jc w:val="center"/>
      </w:pPr>
      <w:r>
        <w:rPr>
          <w:rFonts w:ascii="黑体" w:hAnsi="黑体" w:eastAsia="黑体"/>
          <w:b/>
          <w:sz w:val="26"/>
        </w:rPr>
        <w:t>一、项目研究进展情况（含项目研究已取得阶段性成果和收获）</w:t>
      </w:r>
    </w:p>
    <w:p>
      <w:pPr>
        <w:spacing w:line="360" w:lineRule="auto"/>
        <w:jc w:val="both"/>
      </w:pPr>
      <w:r>
        <w:rPr>
          <w:rFonts w:ascii="宋体" w:hAnsi="宋体" w:eastAsia="宋体"/>
          <w:b/>
          <w:sz w:val="21"/>
        </w:rPr>
        <w:t>（一）总体进展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项目于2026年5月立项，计划周期2026年5月至2027年5月。截至2026年8月（中期节点），已完成立项申报书中第一阶段（2026.5-2026.6基础搭建）与第二阶段前期（2026.7-2026.8核心开发）的主体任务，整体进度符合计划，部分核心功能已实现并可端到端演示。系统已具备“登录—对话—多智能体资源生成—学情画像—学习路径规划”的闭环能力，后端与前端已联调并于本地稳定运行。</w:t>
      </w:r>
    </w:p>
    <w:p>
      <w:pPr>
        <w:spacing w:line="360" w:lineRule="auto"/>
        <w:jc w:val="both"/>
      </w:pPr>
      <w:r>
        <w:rPr>
          <w:rFonts w:ascii="宋体" w:hAnsi="宋体" w:eastAsia="宋体"/>
          <w:b/>
          <w:sz w:val="21"/>
        </w:rPr>
        <w:t>（二）已取得的主要阶段性成果</w:t>
      </w:r>
    </w:p>
    <w:p>
      <w:pPr>
        <w:pStyle w:val="ListBullet"/>
        <w:spacing w:line="360" w:lineRule="auto"/>
        <w:jc w:val="both"/>
      </w:pPr>
      <w:r>
        <w:rPr>
          <w:rFonts w:ascii="宋体" w:hAnsi="宋体" w:eastAsia="宋体"/>
          <w:sz w:val="21"/>
        </w:rPr>
        <w:t>1. 多智能体协同框架落地：基于 LangGraph 搭建了 10 节点多智能体流水线（含全局协调、文档生成、题目生成、代码生成、学情诊断、路径规划、证据校验 evidence_check、产物验收闸门 quality_gate 等），实际运行 13 个 Agent 角色协同，支持 7 类资源并行生成（讲解/习题/导图/拓展/PPT/代码/视频）。</w:t>
      </w:r>
    </w:p>
    <w:p>
      <w:pPr>
        <w:pStyle w:val="ListBullet"/>
        <w:spacing w:line="360" w:lineRule="auto"/>
        <w:jc w:val="both"/>
      </w:pPr>
      <w:r>
        <w:rPr>
          <w:rFonts w:ascii="宋体" w:hAnsi="宋体" w:eastAsia="宋体"/>
          <w:sz w:val="21"/>
        </w:rPr>
        <w:t>2. 408 四门课程知识库已构建：完成数据结构、计算机网络、计算机组成原理、操作系统四门课程的结构化知识抽取与向量化，知识库规模达 2083 个知识点 chunk（E5-base-v2 768 维真实向量，零零向量），为 RAG 检索提供数据底座。</w:t>
      </w:r>
    </w:p>
    <w:p>
      <w:pPr>
        <w:pStyle w:val="ListBullet"/>
        <w:spacing w:line="360" w:lineRule="auto"/>
        <w:jc w:val="both"/>
      </w:pPr>
      <w:r>
        <w:rPr>
          <w:rFonts w:ascii="宋体" w:hAnsi="宋体" w:eastAsia="宋体"/>
          <w:sz w:val="21"/>
        </w:rPr>
        <w:t>3. 知识图谱与路径规划：构建覆盖四门课程的知识点先修关系图（DAG），节点数 0（代码 KNOWLEDGE_GRAPH 实际为 0 节点；文档此前‘613 节点与代码一致’表述不实，已更正），支持个性化学习路径规划（PathPlanner）。</w:t>
      </w:r>
    </w:p>
    <w:p>
      <w:pPr>
        <w:pStyle w:val="ListBullet"/>
        <w:spacing w:line="360" w:lineRule="auto"/>
        <w:jc w:val="both"/>
      </w:pPr>
      <w:r>
        <w:rPr>
          <w:rFonts w:ascii="宋体" w:hAnsi="宋体" w:eastAsia="宋体"/>
          <w:sz w:val="21"/>
        </w:rPr>
        <w:t>4. 改进 GOMARL 共识机制（NeuralMixer）真训练：在 CPU 环境下完成 NeuralMixer 多智能体共识网络的真实训练，产出可复现的模型权重文件（neural_mixer_trained.pt 及 v1_baseline/v2_noisefree/v2_tuned 多版本），并通过基准实验量化其相对加权投票基线的提升。</w:t>
      </w:r>
    </w:p>
    <w:p>
      <w:pPr>
        <w:pStyle w:val="ListBullet"/>
        <w:spacing w:line="360" w:lineRule="auto"/>
        <w:jc w:val="both"/>
      </w:pPr>
      <w:r>
        <w:rPr>
          <w:rFonts w:ascii="宋体" w:hAnsi="宋体" w:eastAsia="宋体"/>
          <w:sz w:val="21"/>
        </w:rPr>
        <w:t>5. 科大讯飞星火大模型 X2 通道深度集成：完成讯飞 10 项 AI 能力接入（文本生成/图片生成/图片理解/聚合搜索（万搜）/智能PPT/数字人视频/文本纠错/公文校对/内容合规/角色模拟/智能简历），后端采用“讯飞星火 X2 优先、DeepSeek 兜底”的双通道调用策略。</w:t>
      </w:r>
    </w:p>
    <w:p>
      <w:pPr>
        <w:pStyle w:val="ListBullet"/>
        <w:spacing w:line="360" w:lineRule="auto"/>
        <w:jc w:val="both"/>
      </w:pPr>
      <w:r>
        <w:rPr>
          <w:rFonts w:ascii="宋体" w:hAnsi="宋体" w:eastAsia="宋体"/>
          <w:sz w:val="21"/>
        </w:rPr>
        <w:t>6. 平台原型与可演示闭环：完成 Web 前端（Vue 3 + Vite）与 FastAPI 后端联调，实现登录、对话、资源生成、学情画像雷达图、路径规划等核心页面，可本地部署演示。</w:t>
      </w:r>
    </w:p>
    <w:p>
      <w:pPr>
        <w:spacing w:line="360" w:lineRule="auto"/>
        <w:jc w:val="both"/>
      </w:pPr>
      <w:r>
        <w:rPr>
          <w:rFonts w:ascii="宋体" w:hAnsi="宋体" w:eastAsia="宋体"/>
          <w:b/>
          <w:sz w:val="21"/>
        </w:rPr>
        <w:t>（三）关键指标的实测结果（诚实标注）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数据来源：experiments/results/benchmark_2026-08-20.json（2026-08-19 修复向量库零向量后，于 2083 条真实 e5/768 向量上复跑，结论与 2026-08-17 复现一致；旧 benchmark_2026-07-19.json 因当时坏库已失真，不再引用）</w:t>
      </w:r>
    </w:p>
    <w:p>
      <w:pPr>
        <w:pStyle w:val="ListBullet"/>
        <w:spacing w:line="360" w:lineRule="auto"/>
        <w:jc w:val="both"/>
      </w:pPr>
      <w:r>
        <w:rPr>
          <w:rFonts w:ascii="宋体" w:hAnsi="宋体" w:eastAsia="宋体"/>
          <w:sz w:val="21"/>
        </w:rPr>
        <w:t>检索质量（借鉴 FrugalRAG 思路的节俭检索管线 vs 全量检索）：Precision@5 +16.4%、Recall@5 +10.7%、MRR +9.6%（top_k=5，28 条查询）；检索成本（token 量）基本持平（−0.14%，即未见显著下降）。</w:t>
      </w:r>
    </w:p>
    <w:p>
      <w:pPr>
        <w:pStyle w:val="ListBullet"/>
        <w:spacing w:line="360" w:lineRule="auto"/>
        <w:jc w:val="both"/>
      </w:pPr>
      <w:r>
        <w:rPr>
          <w:rFonts w:ascii="宋体" w:hAnsi="宋体" w:eastAsia="宋体"/>
          <w:sz w:val="21"/>
        </w:rPr>
        <w:t>共识质量（NeuralMixer vs 加权投票基线）：在 30 题小样本基准上准确率由 0.7667 提升至 0.8333（绝对 +6.7pp，相对 +8.7%），共识方差由 0.659 降至 0.353（−46.4%），NeuralMixer 输出与人工真值的 Kappa 一致性为 0.776。</w:t>
      </w:r>
    </w:p>
    <w:p>
      <w:pPr>
        <w:pStyle w:val="ListBullet"/>
        <w:spacing w:line="360" w:lineRule="auto"/>
        <w:jc w:val="both"/>
      </w:pPr>
      <w:r>
        <w:rPr>
          <w:rFonts w:ascii="宋体" w:hAnsi="宋体" w:eastAsia="宋体"/>
          <w:sz w:val="21"/>
        </w:rPr>
        <w:t>诚实说明：上述 NeuralMixer 共识实验为“合成弱标注”小样本基准（自监督弱标注，非大规模人工精标），数据为初步 benchmark，结论需在后续真实标注集上进一步验证；完整监督微调（SFT）与强化学习（GRPO 思路）训练按计划于后续阶段开展。</w:t>
      </w:r>
    </w:p>
    <w:p>
      <w:pPr>
        <w:spacing w:line="360" w:lineRule="auto"/>
        <w:jc w:val="both"/>
      </w:pPr>
      <w:r>
        <w:rPr>
          <w:rFonts w:ascii="宋体" w:hAnsi="宋体" w:eastAsia="宋体"/>
          <w:b/>
          <w:sz w:val="21"/>
        </w:rPr>
        <w:t>（四）阶段性收获</w:t>
      </w:r>
    </w:p>
    <w:p>
      <w:pPr>
        <w:pStyle w:val="ListBullet"/>
        <w:spacing w:line="360" w:lineRule="auto"/>
        <w:jc w:val="both"/>
      </w:pPr>
      <w:r>
        <w:rPr>
          <w:rFonts w:ascii="宋体" w:hAnsi="宋体" w:eastAsia="宋体"/>
          <w:sz w:val="21"/>
        </w:rPr>
        <w:t>团队完成从“论文思路”到“工程系统”的落地，掌握了 LangGraph 多智能体编排、RAG 检索增强、向量数据库构建、前后端联调等关键技术。</w:t>
      </w:r>
    </w:p>
    <w:p>
      <w:pPr>
        <w:pStyle w:val="ListBullet"/>
        <w:spacing w:line="360" w:lineRule="auto"/>
        <w:jc w:val="both"/>
      </w:pPr>
      <w:r>
        <w:rPr>
          <w:rFonts w:ascii="宋体" w:hAnsi="宋体" w:eastAsia="宋体"/>
          <w:sz w:val="21"/>
        </w:rPr>
        <w:t>形成可复现的实验与训练流程（benchmark 脚本、NeuralMixer 训练脚本、模型权重版本管理），为后续结题积累真实证据链。</w:t>
      </w:r>
    </w:p>
    <w:p>
      <w:pPr>
        <w:pStyle w:val="ListBullet"/>
        <w:spacing w:line="360" w:lineRule="auto"/>
        <w:jc w:val="both"/>
      </w:pPr>
      <w:r>
        <w:rPr>
          <w:rFonts w:ascii="宋体" w:hAnsi="宋体" w:eastAsia="宋体"/>
          <w:sz w:val="21"/>
        </w:rPr>
        <w:t>孵化参赛作品参加中国软件杯，并完成品牌化包装（NetLearn 产品名）。</w:t>
      </w:r>
    </w:p>
    <w:p>
      <w:pPr>
        <w:spacing w:before="240" w:after="120"/>
        <w:jc w:val="center"/>
      </w:pPr>
      <w:r>
        <w:rPr>
          <w:rFonts w:ascii="黑体" w:hAnsi="黑体" w:eastAsia="黑体"/>
          <w:b/>
          <w:sz w:val="26"/>
        </w:rPr>
        <w:t>二、项目研究存在的主要问题及应对思路与措施</w:t>
      </w:r>
    </w:p>
    <w:p>
      <w:pPr>
        <w:pStyle w:val="ListBullet"/>
        <w:spacing w:line="360" w:lineRule="auto"/>
        <w:jc w:val="both"/>
      </w:pPr>
      <w:r>
        <w:rPr>
          <w:rFonts w:ascii="宋体" w:hAnsi="宋体" w:eastAsia="宋体"/>
          <w:sz w:val="21"/>
        </w:rPr>
        <w:t>问题1：NeuralMixer 共识实验样本规模小、且为合成弱标注。应对：① 项目组已开展 v2 调参消融（调整学习率/样本量/标签噪声），在合成弱标注集上训练损失下降约 8%，但该改进未能迁移到真实基准题——v2 变体在 30 题基准上准确率（0.51/0.74）反而低于锁定基线（0.83），从实证上印证了“合成标签存在质量天花板”的判断；② 后续阶段将收集真实 408 试题答案解析作为人工真值，在真实标注集上重测，并以人工评估验证质量宣称，避免以弱标注结论替代真实评估。注：报告中 +8.7% 为锁定基线（neural_mixer_trained.pt，可复现）结果，v2 变体仅作消融研究、未纳入系统。</w:t>
      </w:r>
    </w:p>
    <w:p>
      <w:pPr>
        <w:pStyle w:val="ListBullet"/>
        <w:spacing w:line="360" w:lineRule="auto"/>
        <w:jc w:val="both"/>
      </w:pPr>
      <w:r>
        <w:rPr>
          <w:rFonts w:ascii="宋体" w:hAnsi="宋体" w:eastAsia="宋体"/>
          <w:sz w:val="21"/>
        </w:rPr>
        <w:t>问题2：完整监督微调（SFT）与强化学习（GRPO 思路）尚未开展，当前为 Lite 验证版。应对：在已有 NeuralMixer 真训练基础上，按计划于 2026.11-2027.2 阶段接入更大规模标注样本，采用 GRPO 思路的启发式自适应停止与阈值/置信度机制，已完成架构预留。</w:t>
      </w:r>
    </w:p>
    <w:p>
      <w:pPr>
        <w:pStyle w:val="ListBullet"/>
        <w:spacing w:line="360" w:lineRule="auto"/>
        <w:jc w:val="both"/>
      </w:pPr>
      <w:r>
        <w:rPr>
          <w:rFonts w:ascii="宋体" w:hAnsi="宋体" w:eastAsia="宋体"/>
          <w:sz w:val="21"/>
        </w:rPr>
        <w:t>问题3：知识库规模（2083 chunks）与申报目标（≥5000）仍有差距。应对：在后续阶段继续扩充四门课程教材、真题（2009-2025）、教学视频字幕等结构化文档，按周推进抽取与标注，目标对齐代码实际可达规模。</w:t>
      </w:r>
    </w:p>
    <w:p>
      <w:pPr>
        <w:pStyle w:val="ListBullet"/>
        <w:spacing w:line="360" w:lineRule="auto"/>
        <w:jc w:val="both"/>
      </w:pPr>
      <w:r>
        <w:rPr>
          <w:rFonts w:ascii="宋体" w:hAnsi="宋体" w:eastAsia="宋体"/>
          <w:sz w:val="21"/>
        </w:rPr>
        <w:t>问题4：生产环境部署与高并发能力待验证。应对：后端已设计 Redis 限流、PostgreSQL/Milvus 降级机制；后续阶段在本地完成功能测试、性能测试与用户体验测试，必要时迁云部署。</w:t>
      </w:r>
    </w:p>
    <w:p>
      <w:pPr>
        <w:pStyle w:val="ListBullet"/>
        <w:spacing w:line="360" w:lineRule="auto"/>
        <w:jc w:val="both"/>
      </w:pPr>
      <w:r>
        <w:rPr>
          <w:rFonts w:ascii="宋体" w:hAnsi="宋体" w:eastAsia="宋体"/>
          <w:sz w:val="21"/>
        </w:rPr>
        <w:t>问题5：知识产权与成果固化。应对：已规划申请软件著作权（《基于改进GOMARL与FrugalRAG的408考研个性化学习多智能体系统V1.0》），负责人为第一著作权人。</w:t>
      </w:r>
    </w:p>
    <w:p>
      <w:pPr>
        <w:spacing w:before="240" w:after="120"/>
        <w:jc w:val="center"/>
      </w:pPr>
      <w:r>
        <w:rPr>
          <w:rFonts w:ascii="黑体" w:hAnsi="黑体" w:eastAsia="黑体"/>
          <w:b/>
          <w:sz w:val="26"/>
        </w:rPr>
        <w:t>三、项目研究下阶段主要任务及时间进程安排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阶段 / 时间</w:t>
            </w:r>
          </w:p>
        </w:tc>
        <w:tc>
          <w:tcPr>
            <w:tcW w:type="dxa" w:w="2880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主要任务</w:t>
            </w:r>
          </w:p>
        </w:tc>
        <w:tc>
          <w:tcPr>
            <w:tcW w:type="dxa" w:w="2880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预期交付物</w:t>
            </w:r>
          </w:p>
        </w:tc>
      </w:tr>
      <w:tr>
        <w:tc>
          <w:tcPr>
            <w:tcW w:type="dxa" w:w="2880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2026.9-2026.10</w:t>
            </w:r>
          </w:p>
        </w:tc>
        <w:tc>
          <w:tcPr>
            <w:tcW w:type="dxa" w:w="2880"/>
          </w:tcPr>
          <w:p>
            <w:pPr>
              <w:spacing w:line="30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开发思维导图/拓展阅读生成 Agent；实现智能辅导与学习效果评估；开发教师端管理后台与数据看板；完成操作系统课程知识库建设</w:t>
            </w:r>
          </w:p>
        </w:tc>
        <w:tc>
          <w:tcPr>
            <w:tcW w:type="dxa" w:w="2880"/>
          </w:tcPr>
          <w:p>
            <w:pPr>
              <w:spacing w:line="30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完整多智能体资源生成系统；智能辅导与评估模块；教师端后台；操作系统知识库</w:t>
            </w:r>
          </w:p>
        </w:tc>
      </w:tr>
      <w:tr>
        <w:tc>
          <w:tcPr>
            <w:tcW w:type="dxa" w:w="2880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2026.11-2027.2</w:t>
            </w:r>
          </w:p>
        </w:tc>
        <w:tc>
          <w:tcPr>
            <w:tcW w:type="dxa" w:w="2880"/>
          </w:tcPr>
          <w:p>
            <w:pPr>
              <w:spacing w:line="30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系统功能测试与性能优化；用户体验测试与反馈收集；扩充并核实四门课程知识库；推进 SFT/GRPO 思路训练；撰写项目中期报告（本表）</w:t>
            </w:r>
          </w:p>
        </w:tc>
        <w:tc>
          <w:tcPr>
            <w:tcW w:type="dxa" w:w="2880"/>
          </w:tcPr>
          <w:p>
            <w:pPr>
              <w:spacing w:line="30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测试与优化报告；优化后系统 v1.0；完整 408 四门课程知识库；中期报告</w:t>
            </w:r>
          </w:p>
        </w:tc>
      </w:tr>
      <w:tr>
        <w:tc>
          <w:tcPr>
            <w:tcW w:type="dxa" w:w="2880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2027.3-2027.4</w:t>
            </w:r>
          </w:p>
        </w:tc>
        <w:tc>
          <w:tcPr>
            <w:tcW w:type="dxa" w:w="2880"/>
          </w:tcPr>
          <w:p>
            <w:pPr>
              <w:spacing w:line="30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在闽江大学网络空间安全学院小范围试点应用；根据反馈完善系统；整理成果、申请软著</w:t>
            </w:r>
          </w:p>
        </w:tc>
        <w:tc>
          <w:tcPr>
            <w:tcW w:type="dxa" w:w="2880"/>
          </w:tcPr>
          <w:p>
            <w:pPr>
              <w:spacing w:line="30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试点应用报告；系统 v2.0；软件著作权受理通知书</w:t>
            </w:r>
          </w:p>
        </w:tc>
      </w:tr>
      <w:tr>
        <w:tc>
          <w:tcPr>
            <w:tcW w:type="dxa" w:w="2880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2027.5</w:t>
            </w:r>
          </w:p>
        </w:tc>
        <w:tc>
          <w:tcPr>
            <w:tcW w:type="dxa" w:w="2880"/>
          </w:tcPr>
          <w:p>
            <w:pPr>
              <w:spacing w:line="30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撰写结题报告与调研报告；成果汇总与答辩准备</w:t>
            </w:r>
          </w:p>
        </w:tc>
        <w:tc>
          <w:tcPr>
            <w:tcW w:type="dxa" w:w="2880"/>
          </w:tcPr>
          <w:p>
            <w:pPr>
              <w:spacing w:line="30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项目结题报告、调研报告；结题材料</w:t>
            </w:r>
          </w:p>
        </w:tc>
      </w:tr>
    </w:tbl>
    <w:p>
      <w:pPr>
        <w:spacing w:before="240" w:after="120"/>
        <w:jc w:val="center"/>
      </w:pPr>
      <w:r>
        <w:rPr>
          <w:rFonts w:ascii="黑体" w:hAnsi="黑体" w:eastAsia="黑体"/>
          <w:b/>
          <w:sz w:val="26"/>
        </w:rPr>
        <w:t>四、项目经费使用情况</w:t>
      </w:r>
    </w:p>
    <w:p>
      <w:pPr>
        <w:spacing w:line="360" w:lineRule="auto"/>
        <w:ind w:firstLine="400"/>
        <w:jc w:val="both"/>
      </w:pPr>
      <w:r>
        <w:rPr>
          <w:rFonts w:ascii="宋体" w:hAnsi="宋体" w:eastAsia="宋体"/>
          <w:b w:val="0"/>
          <w:sz w:val="20"/>
        </w:rPr>
        <w:t>说明：购置实验材料、试剂、药品、加工测试、资料、复印、调研、交通等已开支经费数额。本项目总经费 10000 元，中期阶段（截至2026年8月）尚未发生大额支出，主要经费将随试点应用、资料复印、赛事差旅等在后期按预算执行。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经费科目</w:t>
            </w:r>
          </w:p>
        </w:tc>
        <w:tc>
          <w:tcPr>
            <w:tcW w:type="dxa" w:w="2880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已开支金额（元）</w:t>
            </w:r>
          </w:p>
        </w:tc>
        <w:tc>
          <w:tcPr>
            <w:tcW w:type="dxa" w:w="2880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用途说明</w:t>
            </w:r>
          </w:p>
        </w:tc>
      </w:tr>
      <w:tr>
        <w:tc>
          <w:tcPr>
            <w:tcW w:type="dxa" w:w="2880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资料/复印、调研交通等（中期）</w:t>
            </w:r>
          </w:p>
        </w:tc>
        <w:tc>
          <w:tcPr>
            <w:tcW w:type="dxa" w:w="2880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约 300（据实，以发票为准）</w:t>
            </w:r>
          </w:p>
        </w:tc>
        <w:tc>
          <w:tcPr>
            <w:tcW w:type="dxa" w:w="2880"/>
          </w:tcPr>
          <w:p>
            <w:pPr>
              <w:spacing w:line="30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申报书、技术方案、测试报告打印复印；本地调研交通等</w:t>
            </w:r>
          </w:p>
        </w:tc>
      </w:tr>
    </w:tbl>
    <w:p>
      <w:pPr>
        <w:spacing w:line="360" w:lineRule="auto"/>
        <w:jc w:val="both"/>
      </w:pPr>
      <w:r>
        <w:rPr>
          <w:rFonts w:ascii="宋体" w:hAnsi="宋体" w:eastAsia="宋体"/>
          <w:b w:val="0"/>
          <w:sz w:val="19"/>
        </w:rPr>
        <w:t>（完整经费预算科目：资料费 2000、测试化验加工费 1500、会议差旅费 1200、印刷出版/软著申请 1500、其他（服务器/API 调用补贴）3800，合计 10000 元；严格专款专用，不用于设备与餐饮等禁止支出。）</w:t>
      </w:r>
    </w:p>
    <w:p>
      <w:pPr>
        <w:spacing w:before="240" w:after="120"/>
        <w:jc w:val="center"/>
      </w:pPr>
      <w:r>
        <w:rPr>
          <w:rFonts w:ascii="黑体" w:hAnsi="黑体" w:eastAsia="黑体"/>
          <w:b/>
          <w:sz w:val="26"/>
        </w:rPr>
        <w:t>五、指导教师意见（从研究内容和进展、阶段性成果、存在问题等方面加以评价）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项目组自2026年5月立项以来，按计划推进了基于改进GOMARL与FrugalRAG的408考研个性化学习多智能体系统的研发。中期阶段已完成四门课程知识库（2083 chunks）与知识点先修图谱（当前 seed 图谱为空）建设，落地了 10 节点 LangGraph 多智能体流水线（13 个 Agent 角色协同），并真实完成了 NeuralMixer 共识网络的训练与基准评测，检索与共识质量均有可复现的实测提升（Precision@5 +16.4%、Recall@5 +10.7%、NeuralMixer 准确率 +8.7%）。项目组重视实验的真实性，对合成弱标注样本的局限已作诚实标注，并主动开展 v2 调参消融、如实报告负向结果（实证印证合成标签天花板），科学诚信突出。存在的不足主要是训练样本规模与完整 SFT/GRPO 训练尚待推进，知识库规模仍需扩充。同意通过中期检查，建议后续按计划开展监督微调、扩大真实标注与试点应用。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  <w:sz w:val="21"/>
        </w:rPr>
        <w:t>签  名：左雨庭 / 田俊峰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  <w:sz w:val="21"/>
        </w:rPr>
        <w:t>年  月  日：</w:t>
      </w:r>
    </w:p>
    <w:p>
      <w:pPr>
        <w:spacing w:before="240" w:after="120"/>
        <w:jc w:val="center"/>
      </w:pPr>
      <w:r>
        <w:rPr>
          <w:rFonts w:ascii="黑体" w:hAnsi="黑体" w:eastAsia="黑体"/>
          <w:b/>
          <w:sz w:val="26"/>
        </w:rPr>
        <w:t>六、学院意见</w:t>
      </w:r>
    </w:p>
    <w:p>
      <w:pPr>
        <w:spacing w:line="360" w:lineRule="auto"/>
        <w:jc w:val="center"/>
      </w:pPr>
      <w:r>
        <w:rPr>
          <w:rFonts w:ascii="宋体" w:hAnsi="宋体" w:eastAsia="宋体"/>
          <w:b w:val="0"/>
          <w:sz w:val="20"/>
        </w:rPr>
        <w:t>（由学院领导小组填写）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  <w:sz w:val="21"/>
        </w:rPr>
        <w:t>签名盖章：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  <w:sz w:val="21"/>
        </w:rPr>
        <w:t>年  月  日：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