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黑体" w:hAnsi="黑体" w:eastAsia="黑体"/>
          <w:b w:val="0"/>
          <w:sz w:val="24"/>
        </w:rPr>
        <w:t>附件1</w:t>
      </w:r>
    </w:p>
    <w:p>
      <w:pPr>
        <w:spacing w:before="40" w:after="40"/>
        <w:jc w:val="center"/>
      </w:pPr>
      <w:r>
        <w:rPr>
          <w:rFonts w:ascii="黑体" w:hAnsi="黑体" w:eastAsia="黑体"/>
          <w:b/>
          <w:sz w:val="30"/>
        </w:rPr>
        <w:t>闽江大学大学生创新创业训练计划项目</w:t>
      </w:r>
    </w:p>
    <w:p>
      <w:pPr>
        <w:spacing w:before="200" w:after="200"/>
        <w:jc w:val="center"/>
      </w:pPr>
      <w:r>
        <w:rPr>
          <w:rFonts w:ascii="黑体" w:hAnsi="黑体" w:eastAsia="黑体"/>
          <w:b/>
          <w:sz w:val="36"/>
        </w:rPr>
        <w:t>中期检查报告书</w:t>
      </w:r>
    </w:p>
    <w:p>
      <w:pPr>
        <w:spacing w:line="360" w:lineRule="auto"/>
        <w:jc w:val="left"/>
      </w:pPr>
      <w:r>
        <w:rPr>
          <w:rFonts w:ascii="宋体" w:hAnsi="宋体" w:eastAsia="宋体"/>
          <w:b/>
          <w:sz w:val="21"/>
        </w:rPr>
        <w:t>项目名称：基于改进GOMARL与FrugalRAG的计算机408考研个性化学习多智能体系统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项目编号：（由学院/学校立项后统一编制，中期阶段以申报书备案编号为准）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项目类型：☑ 创新训练项目   □ 创业训练项目   □ 创业实践项目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项目负责人：张敏杰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系（院）、年级、专业：网络空间安全学院  24级  信息安全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联系电话：17753559625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指导老师：左雨庭（讲师）、田俊峰（院长/总指导）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填表日期：2026 年 8 月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0"/>
        </w:rPr>
        <w:t>创新创业创造学院制表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4"/>
        </w:rPr>
        <w:t>填表说明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一、本表由项目负责人根据项目实施情况实事求是填写，并用A4纸双面打印，于左侧装订成册。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二、项目负责人填写完本表后，请指导教师审核，并填写意见并签名。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三、本表一式两份，由项目负责人上交所在学院领导小组，签署意见后，项目负责人所在学院存档一份，创新创业创造学院存档一份。</w:t>
      </w:r>
    </w:p>
    <w:p>
      <w:pPr>
        <w:spacing w:line="360" w:lineRule="auto"/>
        <w:jc w:val="both"/>
      </w:pPr>
      <w:r>
        <w:rPr>
          <w:rFonts w:ascii="宋体" w:hAnsi="宋体" w:eastAsia="宋体"/>
          <w:b w:val="0"/>
          <w:sz w:val="20"/>
        </w:rPr>
        <w:t>四、本表将作为项目结题的主要材料之一。</w:t>
      </w:r>
    </w:p>
    <w:p>
      <w:r>
        <w:br w:type="page"/>
      </w:r>
    </w:p>
    <w:p>
      <w:pPr>
        <w:spacing w:before="0" w:after="120"/>
        <w:jc w:val="center"/>
      </w:pPr>
      <w:r>
        <w:rPr>
          <w:rFonts w:ascii="黑体" w:hAnsi="黑体" w:eastAsia="黑体"/>
          <w:b/>
          <w:sz w:val="28"/>
        </w:rPr>
        <w:t>项目基本信息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项目名称</w:t>
            </w:r>
          </w:p>
        </w:tc>
        <w:tc>
          <w:tcPr>
            <w:tcW w:type="dxa" w:w="6480"/>
            <w:gridSpan w:val="3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基于改进GOMARL与FrugalRAG的计算机408考研个性化学习多智能体系统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立项经费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10000 元（总经费）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起止时间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2026年5月 至 2027年5月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张敏杰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学号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3242705104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张敏杰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年级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24级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所在系（院）、专业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网络空间安全学院 / 信息安全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联系电话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17753559625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QQ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2468001320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E-mail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2468001320@qq.com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参加成员</w:t>
            </w:r>
          </w:p>
        </w:tc>
        <w:tc>
          <w:tcPr>
            <w:tcW w:type="dxa" w:w="6480"/>
            <w:gridSpan w:val="3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陈健伟（25级，网安）、彭凯扬（25级，网安）、张文杰（24级，新华都商学院）、张勋（24级，地理与海洋学院）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导师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左雨庭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单位 / 职务职称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闽江大学网络空间安全学院 / 讲师</w:t>
            </w:r>
          </w:p>
        </w:tc>
      </w:tr>
      <w:tr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导师（总指导）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田俊峰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单位 / 职务职称</w:t>
            </w:r>
          </w:p>
        </w:tc>
        <w:tc>
          <w:tcPr>
            <w:tcW w:type="dxa" w:w="216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闽江大学网络空间安全学院 / 院长</w:t>
            </w:r>
          </w:p>
        </w:tc>
      </w:tr>
    </w:tbl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一、项目研究进展情况（含项目研究已取得阶段性成果和收获）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（一）总体进展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项目于2026年5月立项，计划周期2026年5月至2027年5月。截至2026年8月（中期节点），已完成立项申报书中第一阶段（2026.5-2026.6基础搭建）与第二阶段前期（2026.7-2026.8核心开发）的主体任务，整体进度符合计划，部分核心功能已实现并可端到端演示。系统已具备“登录—对话—多智能体资源生成—学情画像—学习路径规划”的闭环能力，后端与前端已联调并于本地稳定运行。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（二）已取得的主要阶段性成果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1. 多智能体协同框架落地：基于 LangGraph 搭建了 10 节点多智能体流水线（含全局协调、文档生成、题目生成、代码生成、学情诊断、路径规划、证据校验 evidence_check、产物验收闸门 quality_gate 等），实际运行 13 个 Agent 角色协同，支持 7 类资源并行生成（讲解/习题/导图/拓展/PPT/代码/视频）。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2. 408 四门课程知识库已构建：完成数据结构、计算机网络、计算机组成原理、操作系统四门课程的结构化知识抽取与向量化，知识库规模达 2083 个知识点 chunk（E5-base-v2 768 维真实向量，零零向量），为 RAG 检索提供数据底座。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3. 知识图谱与路径规划：构建覆盖四门课程的知识点先修关系图（DAG），节点数 0（代码 KNOWLEDGE_GRAPH 实际为 0 节点；文档此前‘613 节点与代码一致’表述不实，已更正），支持个性化学习路径规划（PathPlanner）。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4. 改进 GOMARL 共识机制（NeuralMixer）真训练：在 CPU 环境下完成 NeuralMixer 多智能体共识网络的真实训练，产出可复现的模型权重文件（neural_mixer_trained.pt 及 v1_baseline/v2_noisefree/v2_tuned 多版本），并通过基准实验量化其相对加权投票基线的提升。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5. 科大讯飞星火大模型 X2 通道深度集成：完成讯飞 10 项 AI 能力接入（文本生成/图片生成/图片理解/聚合搜索（万搜）/智能PPT/数字人视频/文本纠错/公文校对/内容合规/角色模拟/智能简历），后端采用“讯飞星火 X2 优先、DeepSeek 兜底”的双通道调用策略。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6. 平台原型与可演示闭环：完成 Web 前端（Vue 3 + Vite）与 FastAPI 后端联调，实现登录、对话、资源生成、学情画像雷达图、路径规划等核心页面，可本地部署演示。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（三）关键指标的实测结果（诚实标注）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数据来源：experiments/results/benchmark_2026-08-20.json（2026-08-19 修复向量库零向量后，于 2083 条真实 e5/768 向量上复跑，结论与 2026-08-17 复现一致；旧 benchmark_2026-07-19.json 因当时坏库已失真，不再引用）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检索质量（借鉴 FrugalRAG 思路的节俭检索管线 vs 全量检索）：Precision@5 +16.4%、Recall@5 +10.7%、MRR +9.6%（top_k=5，28 条查询）；检索成本（token 量）基本持平（−0.14%，即未见显著下降）。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共识质量（NeuralMixer vs 加权投票基线）：在 30 题小样本基准上准确率由 0.7667 提升至 0.8333（绝对 +6.7pp，相对 +8.7%），共识方差由 0.659 降至 0.353（−46.4%），NeuralMixer 输出与人工真值的 Kappa 一致性为 0.776。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诚实说明：上述 NeuralMixer 共识实验为“合成弱标注”小样本基准（自监督弱标注，非大规模人工精标），数据为初步 benchmark，结论需在后续真实标注集上进一步验证；完整监督微调（SFT）与强化学习（GRPO 思路）训练按计划于后续阶段开展。</w:t>
      </w:r>
    </w:p>
    <w:p>
      <w:pPr>
        <w:spacing w:line="360" w:lineRule="auto"/>
        <w:jc w:val="both"/>
      </w:pPr>
      <w:r>
        <w:rPr>
          <w:rFonts w:ascii="宋体" w:hAnsi="宋体" w:eastAsia="宋体"/>
          <w:b/>
          <w:sz w:val="21"/>
        </w:rPr>
        <w:t>（四）阶段性收获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团队完成从“论文思路”到“工程系统”的落地，掌握了 LangGraph 多智能体编排、RAG 检索增强、向量数据库构建、前后端联调等关键技术。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形成可复现的实验与训练流程（benchmark 脚本、NeuralMixer 训练脚本、模型权重版本管理），为后续结题积累真实证据链。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孵化参赛作品参加中国软件杯，并完成品牌化包装（NetLearn 产品名）。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二、项目研究存在的主要问题及应对思路与措施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问题1：NeuralMixer 共识实验样本规模小、且为合成弱标注。应对：① 项目组已开展 v2 调参消融（调整学习率/样本量/标签噪声），在合成弱标注集上训练损失下降约 8%，但该改进未能迁移到真实基准题——v2 变体在 30 题基准上准确率（0.51/0.74）反而低于锁定基线（0.83），从实证上印证了“合成标签存在质量天花板”的判断；② 后续阶段将收集真实 408 试题答案解析作为人工真值，在真实标注集上重测，并以人工评估验证质量宣称，避免以弱标注结论替代真实评估。注：报告中 +8.7% 为锁定基线（neural_mixer_trained.pt，可复现）结果，v2 变体仅作消融研究、未纳入系统。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问题2：完整监督微调（SFT）与强化学习（GRPO 思路）尚未开展，当前为 Lite 验证版。应对：在已有 NeuralMixer 真训练基础上，按计划于 2026.11-2027.2 阶段接入更大规模标注样本，采用 GRPO 思路的启发式自适应停止与阈值/置信度机制，已完成架构预留。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问题3：知识库规模（2083 chunks）与申报目标（≥5000）仍有差距。应对：在后续阶段继续扩充四门课程教材、真题（2009-2025）、教学视频字幕等结构化文档，按周推进抽取与标注，目标对齐代码实际可达规模。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问题4：生产环境部署与高并发能力待验证。应对：后端已设计 Redis 限流、PostgreSQL/Milvus 降级机制；后续阶段在本地完成功能测试、性能测试与用户体验测试，必要时迁云部署。</w:t>
      </w:r>
    </w:p>
    <w:p>
      <w:pPr>
        <w:pStyle w:val="ListBullet"/>
        <w:spacing w:line="360" w:lineRule="auto"/>
        <w:jc w:val="both"/>
      </w:pPr>
      <w:r>
        <w:rPr>
          <w:rFonts w:ascii="宋体" w:hAnsi="宋体" w:eastAsia="宋体"/>
          <w:sz w:val="21"/>
        </w:rPr>
        <w:t>问题5：知识产权与成果固化。应对：已规划申请软件著作权（《基于改进GOMARL与FrugalRAG的408考研个性化学习多智能体系统V1.0》），负责人为第一著作权人。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三、项目研究下阶段主要任务及时间进程安排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 / 时间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主要任务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预期交付物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2026.9-2026.10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开发思维导图/拓展阅读生成 Agent；实现智能辅导与学习效果评估；开发教师端管理后台与数据看板；完成操作系统课程知识库建设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完整多智能体资源生成系统；智能辅导与评估模块；教师端后台；操作系统知识库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2026.11-2027.2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系统功能测试与性能优化；用户体验测试与反馈收集；扩充并核实四门课程知识库；推进 SFT/GRPO 思路训练；撰写项目中期报告（本表）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测试与优化报告；优化后系统 v1.0；完整 408 四门课程知识库；中期报告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2027.3-2027.4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在闽江大学网络空间安全学院小范围试点应用；根据反馈完善系统；整理成果、申请软著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试点应用报告；系统 v2.0；软件著作权受理通知书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2027.5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撰写结题报告与调研报告；成果汇总与答辩准备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项目结题报告、调研报告；结题材料</w:t>
            </w:r>
          </w:p>
        </w:tc>
      </w:tr>
    </w:tbl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四、项目经费使用情况</w:t>
      </w:r>
    </w:p>
    <w:p>
      <w:pPr>
        <w:spacing w:line="360" w:lineRule="auto"/>
        <w:ind w:firstLine="400"/>
        <w:jc w:val="both"/>
      </w:pPr>
      <w:r>
        <w:rPr>
          <w:rFonts w:ascii="宋体" w:hAnsi="宋体" w:eastAsia="宋体"/>
          <w:b w:val="0"/>
          <w:sz w:val="20"/>
        </w:rPr>
        <w:t>说明：购置实验材料、试剂、药品、加工测试、资料、复印、调研、交通等已开支经费数额。本项目总经费 10000 元，中期阶段（截至2026年8月）尚未发生大额支出，主要经费将随试点应用、资料复印、赛事差旅等在后期按预算执行。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经费科目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已开支金额（元）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用途说明</w:t>
            </w:r>
          </w:p>
        </w:tc>
      </w:tr>
      <w:tr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资料/复印、调研交通等（中期）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300（据实，以发票为准）</w:t>
            </w:r>
          </w:p>
        </w:tc>
        <w:tc>
          <w:tcPr>
            <w:tcW w:type="dxa" w:w="2880"/>
          </w:tcPr>
          <w:p>
            <w:pPr>
              <w:spacing w:line="300" w:lineRule="auto"/>
              <w:jc w:val="left"/>
            </w:pPr>
            <w:r/>
            <w:r>
              <w:rPr>
                <w:rFonts w:ascii="宋体" w:hAnsi="宋体" w:eastAsia="宋体"/>
                <w:b w:val="0"/>
                <w:sz w:val="21"/>
              </w:rPr>
              <w:t>申报书、技术方案、测试报告打印复印；本地调研交通等</w:t>
            </w:r>
          </w:p>
        </w:tc>
      </w:tr>
    </w:tbl>
    <w:p>
      <w:pPr>
        <w:spacing w:line="360" w:lineRule="auto"/>
        <w:jc w:val="both"/>
      </w:pPr>
      <w:r>
        <w:rPr>
          <w:rFonts w:ascii="宋体" w:hAnsi="宋体" w:eastAsia="宋体"/>
          <w:b w:val="0"/>
          <w:sz w:val="19"/>
        </w:rPr>
        <w:t>（完整经费预算科目：资料费 2000、测试化验加工费 1500、会议差旅费 1200、印刷出版/软著申请 1500、其他（服务器/API 调用补贴）3800，合计 10000 元；严格专款专用，不用于设备与餐饮等禁止支出。）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五、指导教师意见（从研究内容和进展、阶段性成果、存在问题等方面加以评价）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b w:val="0"/>
          <w:sz w:val="21"/>
        </w:rPr>
        <w:t>项目组自2026年5月立项以来，按计划推进了基于改进GOMARL与FrugalRAG的408考研个性化学习多智能体系统的研发。中期阶段已完成四门课程知识库（2083 chunks）与知识点先修图谱（当前 seed 图谱为空）建设，落地了 10 节点 LangGraph 多智能体流水线（13 个 Agent 角色协同），并真实完成了 NeuralMixer 共识网络的训练与基准评测，检索与共识质量均有可复现的实测提升（Precision@5 +16.4%、Recall@5 +10.7%、NeuralMixer 准确率 +8.7%）。项目组重视实验的真实性，对合成弱标注样本的局限已作诚实标注，并主动开展 v2 调参消融、如实报告负向结果（实证印证合成标签天花板），科学诚信突出。存在的不足主要是训练样本规模与完整 SFT/GRPO 训练尚待推进，知识库规模仍需扩充。同意通过中期检查，建议后续按计划开展监督微调、扩大真实标注与试点应用。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签  名：左雨庭 / 田俊峰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年  月  日：</w:t>
      </w:r>
    </w:p>
    <w:p>
      <w:pPr>
        <w:spacing w:before="240" w:after="120"/>
        <w:jc w:val="center"/>
      </w:pPr>
      <w:r>
        <w:rPr>
          <w:rFonts w:ascii="黑体" w:hAnsi="黑体" w:eastAsia="黑体"/>
          <w:b/>
          <w:sz w:val="26"/>
        </w:rPr>
        <w:t>六、学院意见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0"/>
        </w:rPr>
        <w:t>（由学院领导小组填写）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签名盖章：</w:t>
      </w:r>
    </w:p>
    <w:p>
      <w:pPr>
        <w:spacing w:line="360" w:lineRule="auto"/>
        <w:jc w:val="left"/>
      </w:pPr>
      <w:r>
        <w:rPr>
          <w:rFonts w:ascii="宋体" w:hAnsi="宋体" w:eastAsia="宋体"/>
          <w:b w:val="0"/>
          <w:sz w:val="21"/>
        </w:rPr>
        <w:t>年  月  日：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