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大创交付件口径校验备忘录</w:t>
      </w:r>
    </w:p>
    <w:p>
      <w:pPr>
        <w:jc w:val="center"/>
      </w:pPr>
      <w:r>
        <w:rPr>
          <w:i/>
          <w:sz w:val="20"/>
        </w:rPr>
        <w:t>NetLearn / MARS-408 · 闽江大学大学生创新创业训练计划 · 防口径漂移证据页</w:t>
      </w:r>
    </w:p>
    <w:p>
      <w:pPr>
        <w:jc w:val="center"/>
      </w:pPr>
      <w:r>
        <w:rPr>
          <w:sz w:val="18"/>
        </w:rPr>
        <w:t>生成日期：2026-09-17　|　适用范围：附件1 中期检查报告书 / 附件4 研究报告 / 结题草稿</w:t>
      </w:r>
    </w:p>
    <w:p>
      <w:r>
        <w:rPr>
          <w:b/>
          <w:sz w:val="24"/>
        </w:rPr>
        <w:t>一、目的与红线</w:t>
      </w:r>
    </w:p>
    <w:p>
      <w:r>
        <w:rPr>
          <w:b w:val="0"/>
          <w:sz w:val="21"/>
        </w:rPr>
        <w:t>本备忘录将大创交付件中所有「数值 / 计数 / 通道 / 架构」口径锁定为可复现的权威真值，防止文档间数字漂移与「旧基准乐观值当现行结论」两类问题。</w:t>
      </w:r>
    </w:p>
    <w:p>
      <w:r>
        <w:rPr>
          <w:b w:val="0"/>
          <w:sz w:val="21"/>
        </w:rPr>
        <w:t>诚信红线：发生型证据（Trace / 成效 / 已训练）不可造假；结构型可标『v1 规则原型』；知识库扩容到 ≥5000 因缺真实教材来源未做（守红线不凑数）。</w:t>
      </w:r>
    </w:p>
    <w:p>
      <w:r>
        <w:rPr>
          <w:b/>
          <w:sz w:val="24"/>
        </w:rPr>
        <w:t>二、口径真值核对表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口径真值（可复现）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权威来源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知识库规模</w:t>
            </w:r>
          </w:p>
        </w:tc>
        <w:tc>
          <w:tcPr>
            <w:tcW w:type="dxa" w:w="2160"/>
          </w:tcPr>
          <w:p>
            <w:r>
              <w:t>2122 个知识点 chunk（E5-base-v2 768 维真实向量，经验证全 L2 范数=1.0、零零向量）</w:t>
            </w:r>
          </w:p>
        </w:tc>
        <w:tc>
          <w:tcPr>
            <w:tcW w:type="dxa" w:w="2160"/>
          </w:tcPr>
          <w:p>
            <w:r>
              <w:t>py-server/vectordb_data/netlearn_kb.json（ids 长度=2122）</w:t>
            </w:r>
          </w:p>
        </w:tc>
        <w:tc>
          <w:tcPr>
            <w:tcW w:type="dxa" w:w="2160"/>
          </w:tcPr>
          <w:p>
            <w:r>
              <w:t>磁盘实测值；旧稿写 2083 已订正</w:t>
            </w:r>
          </w:p>
        </w:tc>
      </w:tr>
      <w:tr>
        <w:tc>
          <w:tcPr>
            <w:tcW w:type="dxa" w:w="2160"/>
          </w:tcPr>
          <w:p>
            <w:r>
              <w:t>知识图谱</w:t>
            </w:r>
          </w:p>
        </w:tc>
        <w:tc>
          <w:tcPr>
            <w:tcW w:type="dxa" w:w="2160"/>
          </w:tcPr>
          <w:p>
            <w:r>
              <w:t>86 个知识点 / 82 条先修依赖边（DAG）</w:t>
            </w:r>
          </w:p>
        </w:tc>
        <w:tc>
          <w:tcPr>
            <w:tcW w:type="dxa" w:w="2160"/>
          </w:tcPr>
          <w:p>
            <w:r>
              <w:t>teaching_rules 构建；kg_probe.txt 可复现</w:t>
            </w:r>
          </w:p>
        </w:tc>
        <w:tc>
          <w:tcPr>
            <w:tcW w:type="dxa" w:w="2160"/>
          </w:tcPr>
          <w:p>
            <w:r>
              <w:t>旧稿误写 613 节点/609 边 已订正</w:t>
            </w:r>
          </w:p>
        </w:tc>
      </w:tr>
      <w:tr>
        <w:tc>
          <w:tcPr>
            <w:tcW w:type="dxa" w:w="2160"/>
          </w:tcPr>
          <w:p>
            <w:r>
              <w:t>多智能体编排</w:t>
            </w:r>
          </w:p>
        </w:tc>
        <w:tc>
          <w:tcPr>
            <w:tcW w:type="dxa" w:w="2160"/>
          </w:tcPr>
          <w:p>
            <w:r>
              <w:t>11 节点 LangGraph 流水线（13 个 Agent 角色）</w:t>
            </w:r>
          </w:p>
        </w:tc>
        <w:tc>
          <w:tcPr>
            <w:tcW w:type="dxa" w:w="2160"/>
          </w:tcPr>
          <w:p>
            <w:r>
              <w:t>py-server/agents/graph.py:99-109</w:t>
            </w:r>
          </w:p>
        </w:tc>
        <w:tc>
          <w:tcPr>
            <w:tcW w:type="dxa" w:w="2160"/>
          </w:tcPr>
          <w:p>
            <w:r>
              <w:t>旧稿写 10 节点 已订正</w:t>
            </w:r>
          </w:p>
        </w:tc>
      </w:tr>
      <w:tr>
        <w:tc>
          <w:tcPr>
            <w:tcW w:type="dxa" w:w="2160"/>
          </w:tcPr>
          <w:p>
            <w:r>
              <w:t>共识机制（NeuralMixer）</w:t>
            </w:r>
          </w:p>
        </w:tc>
        <w:tc>
          <w:tcPr>
            <w:tcW w:type="dxa" w:w="2160"/>
          </w:tcPr>
          <w:p>
            <w:r>
              <w:t>96 样本权威评测：训练权重准确率 80.2% vs 规则加权投票基线 82.3% 持平（未显著超越）；核心收益=修复退化随机映射 consensus≈−0.48→6.46、注意力-质量 Pearson −0.15→0.22；权重 48/48 可加载</w:t>
            </w:r>
          </w:p>
        </w:tc>
        <w:tc>
          <w:tcPr>
            <w:tcW w:type="dxa" w:w="2160"/>
          </w:tcPr>
          <w:p>
            <w:r>
              <w:t>py-server/experiments/results/mixer_before_after_2026-09-03.json（12 题×8 次=96 样本）</w:t>
            </w:r>
          </w:p>
        </w:tc>
        <w:tc>
          <w:tcPr>
            <w:tcW w:type="dxa" w:w="2160"/>
          </w:tcPr>
          <w:p>
            <w:r>
              <w:t>30 题 0.7667→0.8333(+8.7%) 仅为早期小样本探索、已被更大样本复现否定，交付件以 96 样本口径为准</w:t>
            </w:r>
          </w:p>
        </w:tc>
      </w:tr>
      <w:tr>
        <w:tc>
          <w:tcPr>
            <w:tcW w:type="dxa" w:w="2160"/>
          </w:tcPr>
          <w:p>
            <w:r>
              <w:t>E5 检索编码</w:t>
            </w:r>
          </w:p>
        </w:tc>
        <w:tc>
          <w:tcPr>
            <w:tcW w:type="dxa" w:w="2160"/>
          </w:tcPr>
          <w:p>
            <w:r>
              <w:t>真实 E5 编码运行（非 BM25-only 降级）</w:t>
            </w:r>
          </w:p>
        </w:tc>
        <w:tc>
          <w:tcPr>
            <w:tcW w:type="dxa" w:w="2160"/>
          </w:tcPr>
          <w:p>
            <w:r>
              <w:t>models/e5-base-v2 存在；py-server/experiments/results/trace_frugalrag_search_2026-09-16.json（distance 0.916/0.937/0.674/0.653/0.643）</w:t>
            </w:r>
          </w:p>
        </w:tc>
        <w:tc>
          <w:tcPr>
            <w:tcW w:type="dxa" w:w="2160"/>
          </w:tcPr>
          <w:p>
            <w:r>
              <w:t>FrugalRAG 真实 Trace 重捕于 2026-09-16，证伪『没了』</w:t>
            </w:r>
          </w:p>
        </w:tc>
      </w:tr>
      <w:tr>
        <w:tc>
          <w:tcPr>
            <w:tcW w:type="dxa" w:w="2160"/>
          </w:tcPr>
          <w:p>
            <w:r>
              <w:t>讯飞通道策略</w:t>
            </w:r>
          </w:p>
        </w:tc>
        <w:tc>
          <w:tcPr>
            <w:tcW w:type="dxa" w:w="2160"/>
          </w:tcPr>
          <w:p>
            <w:r>
              <w:t>后端『讯飞星火 generalv3.5 优先 / DeepSeek 兜底』双通道；X2(spark-x) 端点未授权返回 11200，未启用</w:t>
            </w:r>
          </w:p>
        </w:tc>
        <w:tc>
          <w:tcPr>
            <w:tcW w:type="dxa" w:w="2160"/>
          </w:tcPr>
          <w:p>
            <w:r>
              <w:t>config.json / .env：XF_ACTIVE_PRESET=generalv3.5</w:t>
            </w:r>
          </w:p>
        </w:tc>
        <w:tc>
          <w:tcPr>
            <w:tcW w:type="dxa" w:w="2160"/>
          </w:tcPr>
          <w:p>
            <w:r>
              <w:t>旧稿写『X2 优先』红线错误 已订正</w:t>
            </w:r>
          </w:p>
        </w:tc>
      </w:tr>
      <w:tr>
        <w:tc>
          <w:tcPr>
            <w:tcW w:type="dxa" w:w="2160"/>
          </w:tcPr>
          <w:p>
            <w:r>
              <w:t>讯飞能力计数</w:t>
            </w:r>
          </w:p>
        </w:tc>
        <w:tc>
          <w:tcPr>
            <w:tcW w:type="dxa" w:w="2160"/>
          </w:tcPr>
          <w:p>
            <w:r>
              <w:t>9 项 AI 能力（图片理解/万搜聚合搜索/智能PPT/数字人视频/文本纠错/公文校对/内容合规/角色模拟/智能简历）</w:t>
            </w:r>
          </w:p>
        </w:tc>
        <w:tc>
          <w:tcPr>
            <w:tcW w:type="dxa" w:w="2160"/>
          </w:tcPr>
          <w:p>
            <w:r>
              <w:t>py-server/api/xfyun.py 路由清单</w:t>
            </w:r>
          </w:p>
        </w:tc>
        <w:tc>
          <w:tcPr>
            <w:tcW w:type="dxa" w:w="2160"/>
          </w:tcPr>
          <w:p>
            <w:r>
              <w:t>旧稿列 10/11 项 已订正</w:t>
            </w:r>
          </w:p>
        </w:tc>
      </w:tr>
      <w:tr>
        <w:tc>
          <w:tcPr>
            <w:tcW w:type="dxa" w:w="2160"/>
          </w:tcPr>
          <w:p>
            <w:r>
              <w:t>检索增强相对提升</w:t>
            </w:r>
          </w:p>
        </w:tc>
        <w:tc>
          <w:tcPr>
            <w:tcW w:type="dxa" w:w="2160"/>
          </w:tcPr>
          <w:p>
            <w:r>
              <w:t>Recall@5 +10.7pp、Precision@5 +16.4pp、MRR +9.6pp；token 基本持平（−0.14%）</w:t>
            </w:r>
          </w:p>
        </w:tc>
        <w:tc>
          <w:tcPr>
            <w:tcW w:type="dxa" w:w="2160"/>
          </w:tcPr>
          <w:p>
            <w:r>
              <w:t>py-server/experiments/results/benchmark_2026-08-17.json（28 查询 + 30 题×3 次，seed 20260719）</w:t>
            </w:r>
          </w:p>
        </w:tc>
        <w:tc>
          <w:tcPr>
            <w:tcW w:type="dxa" w:w="2160"/>
          </w:tcPr>
          <w:p>
            <w:r>
              <w:t>同源两口径（绝对/相对）均合法</w:t>
            </w:r>
          </w:p>
        </w:tc>
      </w:tr>
    </w:tbl>
    <w:p>
      <w:r>
        <w:rPr>
          <w:b/>
          <w:sz w:val="24"/>
        </w:rPr>
        <w:t>三、机验结论（2026-09-17）</w:t>
      </w:r>
    </w:p>
    <w:p>
      <w:r>
        <w:rPr>
          <w:b w:val="0"/>
          <w:sz w:val="21"/>
        </w:rPr>
        <w:t>对附件1 / 附件4 / 结题草稿三份 docx 做全文抽取校验：X2 优先 / 613-609 / 10 节点 / 10-11 项 / 2083 / 未标注旧共识 全部 = 0；96 样本口径、86-82、11 节点、generalv3.5+9 项 均已落地。</w:t>
      </w:r>
    </w:p>
    <w:p>
      <w:r>
        <w:rPr>
          <w:b w:val="0"/>
          <w:sz w:val="21"/>
        </w:rPr>
        <w:t>剩余 0.7667/0.8333 提及均显式标注为『早期 30 题小样本探索 / 已据实校准』，不作头条准确率。</w:t>
      </w:r>
    </w:p>
    <w:p>
      <w:r>
        <w:rPr>
          <w:b/>
          <w:sz w:val="24"/>
        </w:rPr>
        <w:t>四、权威来源文件索引</w:t>
      </w:r>
    </w:p>
    <w:p>
      <w:pPr>
        <w:pStyle w:val="ListBullet"/>
      </w:pPr>
      <w:r>
        <w:t>py-server/vectordb_data/netlearn_kb.json — KB 向量与计数（2122）</w:t>
      </w:r>
    </w:p>
    <w:p>
      <w:pPr>
        <w:pStyle w:val="ListBullet"/>
      </w:pPr>
      <w:r>
        <w:t>py-server/experiments/results/mixer_before_after_2026-09-03.json — NeuralMixer 96 样本评测</w:t>
      </w:r>
    </w:p>
    <w:p>
      <w:pPr>
        <w:pStyle w:val="ListBullet"/>
      </w:pPr>
      <w:r>
        <w:t>py-server/experiments/results/trace_frugalrag_search_2026-09-16.json + TRACE_FrugalRAG_证据说明-2026-09-16.md — FrugalRAG 真实 Trace</w:t>
      </w:r>
    </w:p>
    <w:p>
      <w:pPr>
        <w:pStyle w:val="ListBullet"/>
      </w:pPr>
      <w:r>
        <w:t>py-server/experiments/results/benchmark_2026-08-17.json — 检索增强基准</w:t>
      </w:r>
    </w:p>
    <w:p>
      <w:pPr>
        <w:pStyle w:val="ListBullet"/>
      </w:pPr>
      <w:r>
        <w:t>py-server/agents/graph.py:99-109 — LangGraph 11 节点</w:t>
      </w:r>
    </w:p>
    <w:p>
      <w:pPr>
        <w:pStyle w:val="ListBullet"/>
      </w:pPr>
      <w:r>
        <w:t>kg_probe.txt — 知识图谱 86 节点/82 边</w:t>
      </w:r>
    </w:p>
    <w:p>
      <w:pPr>
        <w:pStyle w:val="ListBullet"/>
      </w:pPr>
      <w:r>
        <w:t>config.json / .env — 讯飞 generalv3.5 运行配置</w:t>
      </w:r>
    </w:p>
    <w:p/>
    <w:p>
      <w:r>
        <w:rPr>
          <w:i/>
          <w:sz w:val="18"/>
        </w:rPr>
        <w:t>本备忘录由代码/产物反查生成，所有数字均可回溯至上述文件字段；如有来源更新，以最新评测文件为准。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