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宋体"/>
          <w:b/>
          <w:color w:val="6C2BD9"/>
          <w:sz w:val="26"/>
        </w:rPr>
        <w:t>闽江大学 · 芒得很职</w:t>
      </w:r>
    </w:p>
    <w:p>
      <w:pPr>
        <w:jc w:val="center"/>
      </w:pPr>
      <w:r>
        <w:rPr>
          <w:rFonts w:ascii="Calibri" w:hAnsi="Calibri" w:eastAsia="宋体"/>
          <w:b/>
          <w:color w:val="1A1A2E"/>
          <w:sz w:val="52"/>
        </w:rPr>
        <w:t>芒得很职 快速启动指南</w:t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21"/>
        </w:rPr>
        <w:t>计算机类学生职业素养对抗实训平台</w:t>
      </w:r>
    </w:p>
    <w:p>
      <w:pPr>
        <w:jc w:val="center"/>
      </w:pPr>
      <w:r>
        <w:rPr>
          <w:rFonts w:ascii="Calibri" w:hAnsi="Calibri" w:eastAsia="宋体"/>
          <w:b w:val="0"/>
          <w:color w:val="6C2BD9"/>
          <w:sz w:val="22"/>
        </w:rPr>
        <w:t>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 w:eastAsia="宋体"/>
          <w:b w:val="0"/>
          <w:color w:val="1A1A2E"/>
          <w:sz w:val="21"/>
        </w:rPr>
        <w:t>闽江大学 · 计算机类学生职业素养对抗实训平台</w:t>
      </w:r>
    </w:p>
    <w:p/>
    <w:p>
      <w:pPr>
        <w:jc w:val="center"/>
      </w:pPr>
      <w:r>
        <w:rPr>
          <w:rFonts w:ascii="Calibri" w:hAnsi="Calibri" w:eastAsia="宋体"/>
          <w:b/>
          <w:color w:val="6C2BD9"/>
          <w:sz w:val="30"/>
        </w:rPr>
        <w:t>目  录</w:t>
      </w:r>
    </w:p>
    <w:p>
      <w:r>
        <w:rPr>
          <w:rFonts w:ascii="Calibri" w:hAnsi="Calibri" w:eastAsia="宋体"/>
          <w:color w:val="1A1A2E"/>
          <w:sz w:val="21"/>
        </w:rPr>
        <w:fldChar w:fldCharType="begin"/>
        <w:instrText xml:space="preserve">TOC \o "1-3" \h \z \u</w:instrText>
        <w:fldChar w:fldCharType="separate"/>
        <w:fldChar w:fldCharType="end"/>
      </w:r>
      <w:r>
        <w:rPr>
          <w:rFonts w:ascii="Calibri" w:hAnsi="Calibri" w:eastAsia="宋体"/>
          <w:color w:val="666666"/>
          <w:sz w:val="21"/>
        </w:rPr>
        <w:t>右键更新域可生成目录</w:t>
      </w:r>
    </w:p>
    <w:p/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适用系统：Windows | 更新日期：2026-07-20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一、环境要求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组件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版本要求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获取方式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Python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&gt;= 3.12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python.org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Node.js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&gt;= 20.19 或 &gt;= 22.12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nodejs.org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Bun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最新版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bun.sh（</w:t>
            </w:r>
            <w:r>
              <w:rPr>
                <w:rFonts w:ascii="Consolas" w:hAnsi="Consolas" w:eastAsia="Consolas"/>
                <w:b w:val="0"/>
                <w:i w:val="0"/>
                <w:color w:val="1A1A2E"/>
                <w:sz w:val="17"/>
              </w:rPr>
              <w:t>npm i -g bun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可选：Milvus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2.3+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milvus.io（开发期用 InMemory 回退）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可选：PostgreSQL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14+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postgresql.org（可关闭）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可选：Redis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7+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redis.io（可关闭）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二、快速启动（5 分钟）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2.1 克隆并安装依赖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前端依赖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cd study-help-pro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bun install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后端依赖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cd py-server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python -m venv .venv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.venv\Scripts\activate    # Windows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pip install -r requirements.txt   # 或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pip install fastapi uvicorn httpx numpy pydantic langgraph sentence-transformers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2.2 配置环境变量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复制环境变量模板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cp .env.example .env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编辑 .env，填入 API Key（至少填一个）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DEEPSEEK_API_KEY=sk-your-key-here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或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XF_APP_ID=your-app-id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XF_API_KEY=your-api-key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XF_API_PASSWORD=your-password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2.3 启动后端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cd py-server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.venv\Scripts\activate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uvicorn main:app --host 127.0.0.1 --port 8002 --reload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启动成功看到：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INFO:     Started server process [xxxx]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INFO:     Waiting for application startup.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INFO:     向量库为空，写入内置种子数据...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INFO:     向量库就绪，共 1883 个文档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INFO:     PostgreSQL 未启用（可关闭）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INFO:     Redis 未启用（可关闭）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INFO:     Application startup complete.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2.4 启动前端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新开一个终端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cd study-help-pro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bun dev</w:t>
        <w:br/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访问 http://localhost:5173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三、常见问题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3.1 端口被占用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查看谁占了 8002 端口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netstat -ano | findstr :8002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杀掉进程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taskkill /PID &lt;PID&gt; /F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或改用其他端口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uvicorn main:app --host 127.0.0.1 --port 8003 --reload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3.2 Milvus 连不上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完全正常。系统自动回退到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InMemoryVectorStore</w:t>
      </w:r>
      <w:r>
        <w:rPr>
          <w:rFonts w:ascii="Calibri" w:hAnsi="Calibri" w:eastAsia="宋体"/>
          <w:b w:val="0"/>
          <w:i w:val="0"/>
          <w:color w:val="1A1A2E"/>
          <w:sz w:val="21"/>
        </w:rPr>
        <w:t>，所有功能不受影响。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3.3 PostgreSQL / Redis 连不上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完全正常。开发期可关闭。在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config.json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中设置：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[json]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{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"postgresql": { "enabled": false },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 "redis": { "enabled": false }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}</w:t>
        <w:br/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3.4 LLM 调用失败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四通道自动回退规则：讯飞星火 X2（第一优先级）→ DeepSeek → Qwen → 智谱 GLM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至少配置</w:t>
      </w:r>
      <w:r>
        <w:rPr>
          <w:rFonts w:ascii="Calibri" w:hAnsi="Calibri" w:eastAsia="宋体"/>
          <w:b/>
          <w:i w:val="0"/>
          <w:color w:val="1A1A2E"/>
          <w:sz w:val="21"/>
        </w:rPr>
        <w:t>一个</w:t>
      </w:r>
      <w:r>
        <w:rPr>
          <w:rFonts w:ascii="Calibri" w:hAnsi="Calibri" w:eastAsia="宋体"/>
          <w:b w:val="0"/>
          <w:i w:val="0"/>
          <w:color w:val="1A1A2E"/>
          <w:sz w:val="21"/>
        </w:rPr>
        <w:t>通道的 API Key。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3.5 E5 模型下载慢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项目已包含本地模型在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py-server/models/e5-base-v2/</w:t>
      </w:r>
      <w:r>
        <w:rPr>
          <w:rFonts w:ascii="Calibri" w:hAnsi="Calibri" w:eastAsia="宋体"/>
          <w:b w:val="0"/>
          <w:i w:val="0"/>
          <w:color w:val="1A1A2E"/>
          <w:sz w:val="21"/>
        </w:rPr>
        <w:t>，无需联网下载。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3.6 Vite 连不上后端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前端请求默认走 proxy 到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http://localhost:8002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。如果后端端口改了，修改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vite.config.ts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中的 proxy 配置。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四、启动验证清单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启动后执行以下检查确认系统正常：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/>
          <w:color w:val="999999"/>
          <w:sz w:val="17"/>
        </w:rPr>
        <w:t>[bash]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1. 健康检查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curl http://localhost:8002/api/status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预期：{"status":"ok","vector_db":"inmemory","collection_size":1883,...}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2. 聊天接口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curl -X POST http://localhost:8002/api/chat/send ^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-H "Content-Type: application/json" ^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-d "{\"message\":\"什么是TCP三次握手？\"}"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# 3. LangGraph 多智能体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curl -X POST http://localhost:8002/api/agents/langgraph/stream ^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-H "Content-Type: application/json" ^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 xml:space="preserve"> -d "{\"message\":\"学习TCP拥塞控制\"}"</w:t>
        <w:br/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五、目录结构速览</w:t>
      </w:r>
    </w:p>
    <w:p>
      <w:pPr>
        <w:spacing w:before="80" w:after="80" w:line="276" w:lineRule="auto"/>
        <w:ind w:left="227"/>
        <w:shd w:val="clear" w:color="auto" w:fill="F4F4F8"/>
      </w:pPr>
      <w:r>
        <w:rPr>
          <w:rFonts w:ascii="Consolas" w:hAnsi="Consolas" w:eastAsia="Consolas"/>
          <w:b w:val="0"/>
          <w:i w:val="0"/>
          <w:color w:val="1A1A2E"/>
          <w:sz w:val="18"/>
        </w:rPr>
        <w:t>study-help-pro/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py-server/          ← 后端（Python FastAPI）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main.py         ← 应用入口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agents/         ← 10 个 Agent 节点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engines/        ← 算法引擎（GOMARL / FrugalRAG）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api/            ← 44 个 API 路由模块（245 operations / 228 paths）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db/             ← 数据层（LLM / 向量库 / PG / Redis）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└── prompts.py      ← 所有系统提示词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├── src/                ← 前端（Vue 3 + TypeScript）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views/          ← 12 个视图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├── components/     ← 8 个组件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│   └── stores/         ← Pinia 状态管理</w:t>
        <w:br/>
      </w:r>
      <w:r>
        <w:rPr>
          <w:rFonts w:ascii="Consolas" w:hAnsi="Consolas" w:eastAsia="Consolas"/>
          <w:b w:val="0"/>
          <w:i w:val="0"/>
          <w:color w:val="1A1A2E"/>
          <w:sz w:val="18"/>
        </w:rPr>
        <w:t>└── 02_配套文档/          ← 项目文档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