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Arial" w:cs="Arial" w:eastAsia="Arial" w:hAnsi="Arial"/>
          <w:b/>
          <w:bCs/>
          <w:caps/>
          <w:color w:val="C45911"/>
          <w:sz w:val="20"/>
          <w:szCs w:val="20"/>
        </w:rPr>
        <w:t xml:space="preserve">CONFIDENTIAL</w:t>
      </w:r>
    </w:p>
    <w:p>
      <w:pPr>
        <w:spacing w:after="80"/>
      </w:pPr>
    </w:p>
    <w:p>
      <w:pPr>
        <w:spacing w:after="200"/>
        <w:jc w:val="center"/>
      </w:pPr>
      <w:r>
        <w:rPr>
          <w:rFonts w:ascii="Arial" w:cs="Arial" w:eastAsia="Arial" w:hAnsi="Arial"/>
          <w:b/>
          <w:bCs/>
          <w:color w:val="1B3A5C"/>
          <w:sz w:val="52"/>
          <w:szCs w:val="52"/>
        </w:rPr>
        <w:t xml:space="preserve">VocalIQ Competitive Governance Analysis</w:t>
      </w:r>
    </w:p>
    <w:p>
      <w:pPr>
        <w:spacing w:after="120"/>
        <w:jc w:val="center"/>
      </w:pPr>
      <w:r>
        <w:rPr>
          <w:rFonts w:ascii="Arial" w:cs="Arial" w:eastAsia="Arial" w:hAnsi="Arial"/>
          <w:color w:val="2E75B6"/>
          <w:sz w:val="32"/>
          <w:szCs w:val="32"/>
        </w:rPr>
        <w:t xml:space="preserve">Voice AI for Regulated Banking</w:t>
      </w:r>
    </w:p>
    <w:p>
      <w:pPr>
        <w:spacing w:after="80"/>
      </w:pPr>
    </w:p>
    <w:p>
      <w:pPr>
        <w:spacing w:after="80"/>
      </w:pPr>
    </w:p>
    <w:p>
      <w:pPr>
        <w:spacing w:after="60"/>
        <w:jc w:val="center"/>
      </w:pPr>
      <w:r>
        <w:rPr>
          <w:rFonts w:ascii="Arial" w:cs="Arial" w:eastAsia="Arial" w:hAnsi="Arial"/>
          <w:color w:val="404040"/>
          <w:sz w:val="22"/>
          <w:szCs w:val="22"/>
        </w:rPr>
        <w:t xml:space="preserve">Prepared for: CPO / Investment Committee</w:t>
      </w:r>
    </w:p>
    <w:p>
      <w:pPr>
        <w:spacing w:after="60"/>
        <w:jc w:val="center"/>
      </w:pPr>
      <w:r>
        <w:rPr>
          <w:rFonts w:ascii="Arial" w:cs="Arial" w:eastAsia="Arial" w:hAnsi="Arial"/>
          <w:color w:val="404040"/>
          <w:sz w:val="22"/>
          <w:szCs w:val="22"/>
        </w:rPr>
        <w:t xml:space="preserve">Date: May 4, 2026</w:t>
      </w:r>
    </w:p>
    <w:p>
      <w:pPr>
        <w:spacing w:after="60"/>
        <w:jc w:val="center"/>
      </w:pPr>
      <w:r>
        <w:rPr>
          <w:rFonts w:ascii="Arial" w:cs="Arial" w:eastAsia="Arial" w:hAnsi="Arial"/>
          <w:color w:val="404040"/>
          <w:sz w:val="22"/>
          <w:szCs w:val="22"/>
        </w:rPr>
        <w:t xml:space="preserve">Classification: Investment Committee Review</w:t>
      </w:r>
    </w:p>
    <w:p>
      <w:r>
        <w:br w:type="page"/>
      </w:r>
    </w:p>
    <w:p>
      <w:pPr>
        <w:pStyle w:val="Heading1"/>
        <w:spacing w:after="160" w:before="360"/>
      </w:pPr>
      <w:r>
        <w:rPr>
          <w:rFonts w:ascii="Arial" w:cs="Arial" w:eastAsia="Arial" w:hAnsi="Arial"/>
          <w:b/>
          <w:bCs/>
          <w:sz w:val="22"/>
          <w:szCs w:val="2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sz w:val="22"/>
          <w:szCs w:val="22"/>
        </w:rPr>
        <w:t xml:space="preserve">Executive Summary: The Build vs. Buy Verdict</w:t>
      </w:r>
    </w:p>
    <w:p>
      <w:pPr>
        <w:spacing w:after="120"/>
      </w:pPr>
      <w:r>
        <w:rPr>
          <w:rFonts w:ascii="Arial" w:cs="Arial" w:eastAsia="Arial" w:hAnsi="Arial"/>
          <w:b/>
          <w:bCs/>
          <w:sz w:val="22"/>
          <w:szCs w:val="22"/>
        </w:rPr>
        <w:t xml:space="preserve">The governance gap is closing fast, and the window for a standalone "governed voice AI for banking" play is narrower than it appeared six months ago.</w:t>
      </w:r>
    </w:p>
    <w:p>
      <w:pPr>
        <w:spacing w:after="120"/>
      </w:pPr>
      <w:r>
        <w:rPr>
          <w:rFonts w:ascii="Arial" w:cs="Arial" w:eastAsia="Arial" w:hAnsi="Arial"/>
          <w:sz w:val="22"/>
          <w:szCs w:val="22"/>
        </w:rPr>
        <w:t xml:space="preserve">The previous analysis correctly identified that 80% of the problem in voice AI for banking is governance, not the voice pipeline itself. But the market has moved. Several vendors now ship meaningful governance capabilities alongside production-grade voice AI, and the major platform players (NICE+Cognigy, Genesys, Microsoft, AWS) are layering compliance infrastructure on top of already-dominant contact center footprints.</w:t>
      </w:r>
    </w:p>
    <w:p>
      <w:pPr>
        <w:spacing w:after="120"/>
      </w:pPr>
      <w:r>
        <w:rPr>
          <w:rFonts w:ascii="Arial" w:cs="Arial" w:eastAsia="Arial" w:hAnsi="Arial"/>
          <w:sz w:val="22"/>
          <w:szCs w:val="22"/>
        </w:rPr>
        <w:t xml:space="preserve">No single vendor has fully solved the three-layer governance problem (pre-execution policy enforcement, tamper-evident audit trails, and adversarial testing) in a voice-first, banking-native package. But the distance between "what exists" and "what's needed" is measured in integration work and regulatory customization, not fundamental capability gaps.</w:t>
      </w:r>
    </w:p>
    <w:p>
      <w:pPr>
        <w:spacing w:after="80"/>
      </w:pPr>
    </w:p>
    <w:p>
      <w:pPr>
        <w:spacing w:after="120"/>
      </w:pPr>
      <w:r>
        <w:rPr>
          <w:rFonts w:ascii="Arial" w:cs="Arial" w:eastAsia="Arial" w:hAnsi="Arial"/>
          <w:b/>
          <w:bCs/>
          <w:sz w:val="22"/>
          <w:szCs w:val="22"/>
        </w:rPr>
        <w:t xml:space="preserve">The verdict is conditional:</w:t>
      </w:r>
    </w:p>
    <w:p>
      <w:pPr>
        <w:pStyle w:val="ListParagraph"/>
        <w:numPr>
          <w:ilvl w:val="0"/>
          <w:numId w:val="2"/>
        </w:numPr>
        <w:spacing w:after="80"/>
      </w:pPr>
      <w:r>
        <w:rPr>
          <w:rFonts w:ascii="Arial" w:cs="Arial" w:eastAsia="Arial" w:hAnsi="Arial"/>
          <w:b/>
          <w:bCs/>
          <w:sz w:val="22"/>
          <w:szCs w:val="22"/>
        </w:rPr>
        <w:t xml:space="preserve">Full-stack platform competing with NICE, Genesys, or Kasisto: </w:t>
      </w:r>
      <w:r>
        <w:rPr>
          <w:rFonts w:ascii="Arial" w:cs="Arial" w:eastAsia="Arial" w:hAnsi="Arial"/>
          <w:sz w:val="22"/>
          <w:szCs w:val="22"/>
        </w:rPr>
        <w:t xml:space="preserve">the build case is weak. These incumbents have multi-year head starts, named Tier-1 bank deployments, and are actively adding governance depth. Competing on their turf requires hundreds of millions in capital and 3-5 years of credibility-building.</w:t>
      </w:r>
    </w:p>
    <w:p>
      <w:pPr>
        <w:pStyle w:val="ListParagraph"/>
        <w:numPr>
          <w:ilvl w:val="0"/>
          <w:numId w:val="2"/>
        </w:numPr>
        <w:spacing w:after="80"/>
      </w:pPr>
      <w:r>
        <w:rPr>
          <w:rFonts w:ascii="Arial" w:cs="Arial" w:eastAsia="Arial" w:hAnsi="Arial"/>
          <w:b/>
          <w:bCs/>
          <w:sz w:val="22"/>
          <w:szCs w:val="22"/>
        </w:rPr>
        <w:t xml:space="preserve">Governance orchestration layer wrapping existing voice platforms: </w:t>
      </w:r>
      <w:r>
        <w:rPr>
          <w:rFonts w:ascii="Arial" w:cs="Arial" w:eastAsia="Arial" w:hAnsi="Arial"/>
          <w:sz w:val="22"/>
          <w:szCs w:val="22"/>
        </w:rPr>
        <w:t xml:space="preserve">the build case is stronger, but faces execution risk. Gryphon AI is already moving in this direction with its "unified GRC control layer" announced in April 2026, and Verint dominates compliance recording. The differentiation would need to come from banking-workflow-specific governance (KYC voice flows, trade finance authorization chains, card operations dispute handling) rather than generic compliance tooling.</w:t>
      </w:r>
    </w:p>
    <w:p>
      <w:pPr>
        <w:pStyle w:val="ListParagraph"/>
        <w:numPr>
          <w:ilvl w:val="0"/>
          <w:numId w:val="2"/>
        </w:numPr>
        <w:spacing w:after="80"/>
      </w:pPr>
      <w:r>
        <w:rPr>
          <w:rFonts w:ascii="Arial" w:cs="Arial" w:eastAsia="Arial" w:hAnsi="Arial"/>
          <w:b/>
          <w:bCs/>
          <w:sz w:val="22"/>
          <w:szCs w:val="22"/>
        </w:rPr>
        <w:t xml:space="preserve">Specific geographic niche (APAC / Middle East): </w:t>
      </w:r>
      <w:r>
        <w:rPr>
          <w:rFonts w:ascii="Arial" w:cs="Arial" w:eastAsia="Arial" w:hAnsi="Arial"/>
          <w:sz w:val="22"/>
          <w:szCs w:val="22"/>
        </w:rPr>
        <w:t xml:space="preserve">the build case is strongest. The major platforms are weakest in data sovereignty for non-US/non-EU markets, and regional banks are underserved by the English-language-centric incumbents.</w:t>
      </w:r>
    </w:p>
    <w:p>
      <w:r>
        <w:br w:type="page"/>
      </w:r>
    </w:p>
    <w:p>
      <w:pPr>
        <w:pStyle w:val="Heading1"/>
        <w:spacing w:after="160" w:before="360"/>
      </w:pPr>
      <w:r>
        <w:rPr>
          <w:rFonts w:ascii="Arial" w:cs="Arial" w:eastAsia="Arial" w:hAnsi="Arial"/>
          <w:b/>
          <w:bCs/>
          <w:sz w:val="22"/>
          <w:szCs w:val="22"/>
        </w:rPr>
        <w:t xml:space="preserve">Methodology and Rubric Definition</w:t>
      </w:r>
    </w:p>
    <w:p>
      <w:pPr>
        <w:pStyle w:val="Heading2"/>
        <w:spacing w:after="160" w:before="240"/>
      </w:pPr>
      <w:r>
        <w:rPr>
          <w:rFonts w:ascii="Arial" w:cs="Arial" w:eastAsia="Arial" w:hAnsi="Arial"/>
          <w:b/>
          <w:bCs/>
          <w:sz w:val="22"/>
          <w:szCs w:val="22"/>
        </w:rPr>
        <w:t xml:space="preserve">Research Approach</w:t>
      </w:r>
    </w:p>
    <w:p>
      <w:pPr>
        <w:spacing w:after="120"/>
      </w:pPr>
      <w:r>
        <w:rPr>
          <w:rFonts w:ascii="Arial" w:cs="Arial" w:eastAsia="Arial" w:hAnsi="Arial"/>
          <w:sz w:val="22"/>
          <w:szCs w:val="22"/>
        </w:rPr>
        <w:t xml:space="preserve">This analysis drew on web-published sources including vendor websites, press releases, analyst coverage, product documentation, customer case studies, and regulatory guidance documents. All claims are sourced; where evidence was unavailable, that gap is noted explicitly.</w:t>
      </w:r>
    </w:p>
    <w:p>
      <w:pPr>
        <w:spacing w:after="120"/>
      </w:pPr>
      <w:r>
        <w:rPr>
          <w:rFonts w:ascii="Arial" w:cs="Arial" w:eastAsia="Arial" w:hAnsi="Arial"/>
          <w:sz w:val="22"/>
          <w:szCs w:val="22"/>
        </w:rPr>
        <w:t xml:space="preserve">The vendor landscape was segmented into six categories:</w:t>
      </w:r>
    </w:p>
    <w:p>
      <w:pPr>
        <w:pStyle w:val="ListParagraph"/>
        <w:numPr>
          <w:ilvl w:val="0"/>
          <w:numId w:val="2"/>
        </w:numPr>
        <w:spacing w:after="80"/>
      </w:pPr>
      <w:r>
        <w:rPr>
          <w:rFonts w:ascii="Arial" w:cs="Arial" w:eastAsia="Arial" w:hAnsi="Arial"/>
          <w:b/>
          <w:bCs/>
          <w:sz w:val="22"/>
          <w:szCs w:val="22"/>
        </w:rPr>
        <w:t xml:space="preserve">Banking-native conversational AI platforms </w:t>
      </w:r>
      <w:r>
        <w:rPr>
          <w:rFonts w:ascii="Arial" w:cs="Arial" w:eastAsia="Arial" w:hAnsi="Arial"/>
          <w:sz w:val="22"/>
          <w:szCs w:val="22"/>
        </w:rPr>
        <w:t xml:space="preserve">(Kasisto, Kore.ai)</w:t>
      </w:r>
    </w:p>
    <w:p>
      <w:pPr>
        <w:pStyle w:val="ListParagraph"/>
        <w:numPr>
          <w:ilvl w:val="0"/>
          <w:numId w:val="2"/>
        </w:numPr>
        <w:spacing w:after="80"/>
      </w:pPr>
      <w:r>
        <w:rPr>
          <w:rFonts w:ascii="Arial" w:cs="Arial" w:eastAsia="Arial" w:hAnsi="Arial"/>
          <w:b/>
          <w:bCs/>
          <w:sz w:val="22"/>
          <w:szCs w:val="22"/>
        </w:rPr>
        <w:t xml:space="preserve">Enterprise voice AI platforms </w:t>
      </w:r>
      <w:r>
        <w:rPr>
          <w:rFonts w:ascii="Arial" w:cs="Arial" w:eastAsia="Arial" w:hAnsi="Arial"/>
          <w:sz w:val="22"/>
          <w:szCs w:val="22"/>
        </w:rPr>
        <w:t xml:space="preserve">(PolyAI, Cognigy/NICE, Genesys, Amelia/SoundHound)</w:t>
      </w:r>
    </w:p>
    <w:p>
      <w:pPr>
        <w:pStyle w:val="ListParagraph"/>
        <w:numPr>
          <w:ilvl w:val="0"/>
          <w:numId w:val="2"/>
        </w:numPr>
        <w:spacing w:after="80"/>
      </w:pPr>
      <w:r>
        <w:rPr>
          <w:rFonts w:ascii="Arial" w:cs="Arial" w:eastAsia="Arial" w:hAnsi="Arial"/>
          <w:b/>
          <w:bCs/>
          <w:sz w:val="22"/>
          <w:szCs w:val="22"/>
        </w:rPr>
        <w:t xml:space="preserve">Voice AI infrastructure providers </w:t>
      </w:r>
      <w:r>
        <w:rPr>
          <w:rFonts w:ascii="Arial" w:cs="Arial" w:eastAsia="Arial" w:hAnsi="Arial"/>
          <w:sz w:val="22"/>
          <w:szCs w:val="22"/>
        </w:rPr>
        <w:t xml:space="preserve">(Retell AI, Telnyx, Bland.ai, VAPI)</w:t>
      </w:r>
    </w:p>
    <w:p>
      <w:pPr>
        <w:pStyle w:val="ListParagraph"/>
        <w:numPr>
          <w:ilvl w:val="0"/>
          <w:numId w:val="2"/>
        </w:numPr>
        <w:spacing w:after="80"/>
      </w:pPr>
      <w:r>
        <w:rPr>
          <w:rFonts w:ascii="Arial" w:cs="Arial" w:eastAsia="Arial" w:hAnsi="Arial"/>
          <w:b/>
          <w:bCs/>
          <w:sz w:val="22"/>
          <w:szCs w:val="22"/>
        </w:rPr>
        <w:t xml:space="preserve">Cloud hyperscaler offerings </w:t>
      </w:r>
      <w:r>
        <w:rPr>
          <w:rFonts w:ascii="Arial" w:cs="Arial" w:eastAsia="Arial" w:hAnsi="Arial"/>
          <w:sz w:val="22"/>
          <w:szCs w:val="22"/>
        </w:rPr>
        <w:t xml:space="preserve">(AWS Amazon Connect, Microsoft/Nuance, Google CCAI)</w:t>
      </w:r>
    </w:p>
    <w:p>
      <w:pPr>
        <w:pStyle w:val="ListParagraph"/>
        <w:numPr>
          <w:ilvl w:val="0"/>
          <w:numId w:val="2"/>
        </w:numPr>
        <w:spacing w:after="80"/>
      </w:pPr>
      <w:r>
        <w:rPr>
          <w:rFonts w:ascii="Arial" w:cs="Arial" w:eastAsia="Arial" w:hAnsi="Arial"/>
          <w:b/>
          <w:bCs/>
          <w:sz w:val="22"/>
          <w:szCs w:val="22"/>
        </w:rPr>
        <w:t xml:space="preserve">Compliance and governance specialists </w:t>
      </w:r>
      <w:r>
        <w:rPr>
          <w:rFonts w:ascii="Arial" w:cs="Arial" w:eastAsia="Arial" w:hAnsi="Arial"/>
          <w:sz w:val="22"/>
          <w:szCs w:val="22"/>
        </w:rPr>
        <w:t xml:space="preserve">(Gryphon AI, Verint, Rasa)</w:t>
      </w:r>
    </w:p>
    <w:p>
      <w:pPr>
        <w:pStyle w:val="ListParagraph"/>
        <w:numPr>
          <w:ilvl w:val="0"/>
          <w:numId w:val="2"/>
        </w:numPr>
        <w:spacing w:after="80"/>
      </w:pPr>
      <w:r>
        <w:rPr>
          <w:rFonts w:ascii="Arial" w:cs="Arial" w:eastAsia="Arial" w:hAnsi="Arial"/>
          <w:b/>
          <w:bCs/>
          <w:sz w:val="22"/>
          <w:szCs w:val="22"/>
        </w:rPr>
        <w:t xml:space="preserve">Emerging/niche players </w:t>
      </w:r>
      <w:r>
        <w:rPr>
          <w:rFonts w:ascii="Arial" w:cs="Arial" w:eastAsia="Arial" w:hAnsi="Arial"/>
          <w:sz w:val="22"/>
          <w:szCs w:val="22"/>
        </w:rPr>
        <w:t xml:space="preserve">(AviaryAI, VOICERAcx)</w:t>
      </w:r>
    </w:p>
    <w:p>
      <w:pPr>
        <w:spacing w:after="80"/>
      </w:pPr>
    </w:p>
    <w:p>
      <w:pPr>
        <w:pStyle w:val="Heading2"/>
        <w:spacing w:after="160" w:before="240"/>
      </w:pPr>
      <w:r>
        <w:rPr>
          <w:rFonts w:ascii="Arial" w:cs="Arial" w:eastAsia="Arial" w:hAnsi="Arial"/>
          <w:b/>
          <w:bCs/>
          <w:sz w:val="22"/>
          <w:szCs w:val="22"/>
        </w:rPr>
        <w:t xml:space="preserve">Scoring Rubric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Dimension</w:t>
            </w:r>
          </w:p>
        </w:tc>
        <w:tc>
          <w:tcPr>
            <w:tcW w:type="dxa" w:w="1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1</w:t>
            </w:r>
          </w:p>
        </w:tc>
        <w:tc>
          <w:tcPr>
            <w:tcW w:type="dxa" w:w="1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2</w:t>
            </w:r>
          </w:p>
        </w:tc>
        <w:tc>
          <w:tcPr>
            <w:tcW w:type="dxa" w:w="1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3</w:t>
            </w:r>
          </w:p>
        </w:tc>
        <w:tc>
          <w:tcPr>
            <w:tcW w:type="dxa" w:w="143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4</w:t>
            </w:r>
          </w:p>
        </w:tc>
        <w:tc>
          <w:tcPr>
            <w:tcW w:type="dxa" w:w="14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5</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sz w:val="18"/>
                <w:szCs w:val="18"/>
              </w:rPr>
              <w:t xml:space="preserve">Voice AI Maturity</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No voice; text-only</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Basic IVR bolt-on</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Conversational, limited banking</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Production voice-first, moderate banking</w:t>
            </w:r>
          </w:p>
        </w:tc>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Deep multi-turn banking (KYC, disputes, trade finance)</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sz w:val="18"/>
                <w:szCs w:val="18"/>
              </w:rPr>
              <w:t xml:space="preserve">Governance Depth</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Basic logging</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Audit trails + RBAC</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Policy enforcement + audit</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Three-layer partial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Three-layer + adversarial testing + explainability</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sz w:val="18"/>
                <w:szCs w:val="18"/>
              </w:rPr>
              <w:t xml:space="preserve">Banking Domain</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Generic contact center</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Balance inquiry, FAQ</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Account servicing, cards, loans</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KYC, trade finance, wealth mgmt</w:t>
            </w:r>
          </w:p>
        </w:tc>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Comprehensive regulatory-compliant flows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sz w:val="18"/>
                <w:szCs w:val="18"/>
              </w:rPr>
              <w:t xml:space="preserve">Data Sovereignty</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US-only SaaS</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Multi-region, limited</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Regional + some on-prem</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Full on-prem + multi-region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On-prem/sovereign + proven deployments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sz w:val="18"/>
                <w:szCs w:val="18"/>
              </w:rPr>
              <w:t xml:space="preserve">Production Evidence</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Demos only</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Unnamed pilots</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Named non-Tier-1</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Named Tier-1 banks</w:t>
            </w:r>
          </w:p>
        </w:tc>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Tier-1 + published case studies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sz w:val="18"/>
                <w:szCs w:val="18"/>
              </w:rPr>
              <w:t xml:space="preserve">Partner Ecosystem</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Closed platform</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Basic tech partnerships</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Active SI/channel program</w:t>
            </w:r>
          </w:p>
        </w:tc>
        <w:tc>
          <w:tcPr>
            <w:tcW w:type="dxa" w:w="143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Banking-specific SI relationships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sz w:val="17"/>
                <w:szCs w:val="17"/>
              </w:rPr>
              <w:t xml:space="preserve">Active co-sell with regional partners</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sz w:val="18"/>
                <w:szCs w:val="18"/>
              </w:rPr>
              <w:t xml:space="preserve">Certifications</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None</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SOC 2 Type I</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SOC 2 II + one more</w:t>
            </w:r>
          </w:p>
        </w:tc>
        <w:tc>
          <w:tcPr>
            <w:tcW w:type="dxa" w:w="143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SOC 2 II + ISO + PCI + GDPR</w:t>
            </w:r>
          </w:p>
        </w:tc>
        <w:tc>
          <w:tcPr>
            <w:tcW w:type="dxa" w:w="14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sz w:val="17"/>
                <w:szCs w:val="17"/>
              </w:rPr>
              <w:t xml:space="preserve">Comprehensive FSI + regional</w:t>
            </w:r>
          </w:p>
        </w:tc>
      </w:tr>
    </w:tbl>
    <w:p>
      <w:r>
        <w:br w:type="page"/>
      </w:r>
    </w:p>
    <w:p>
      <w:pPr>
        <w:pStyle w:val="Heading1"/>
        <w:spacing w:after="160" w:before="360"/>
      </w:pPr>
      <w:r>
        <w:rPr>
          <w:rFonts w:ascii="Arial" w:cs="Arial" w:eastAsia="Arial" w:hAnsi="Arial"/>
          <w:b/>
          <w:bCs/>
          <w:sz w:val="22"/>
          <w:szCs w:val="22"/>
        </w:rPr>
        <w:t xml:space="preserve">Vendor-by-Vendor Deep Dives</w:t>
      </w:r>
    </w:p>
    <w:p>
      <w:pPr>
        <w:pStyle w:val="Heading2"/>
        <w:spacing w:after="160" w:before="240"/>
      </w:pPr>
      <w:r>
        <w:rPr>
          <w:rFonts w:ascii="Arial" w:cs="Arial" w:eastAsia="Arial" w:hAnsi="Arial"/>
          <w:b/>
          <w:bCs/>
          <w:sz w:val="22"/>
          <w:szCs w:val="22"/>
        </w:rPr>
        <w:t xml:space="preserve">1. NICE + Cognigy (Post-Acquisition)</w:t>
      </w:r>
    </w:p>
    <w:p>
      <w:pPr>
        <w:spacing w:after="120"/>
      </w:pPr>
      <w:r>
        <w:rPr>
          <w:rFonts w:ascii="Arial" w:cs="Arial" w:eastAsia="Arial" w:hAnsi="Arial"/>
          <w:b/>
          <w:bCs/>
          <w:sz w:val="22"/>
          <w:szCs w:val="22"/>
        </w:rPr>
        <w:t xml:space="preserve">Overview: </w:t>
      </w:r>
      <w:r>
        <w:rPr>
          <w:rFonts w:ascii="Arial" w:cs="Arial" w:eastAsia="Arial" w:hAnsi="Arial"/>
          <w:sz w:val="22"/>
          <w:szCs w:val="22"/>
        </w:rPr>
        <w:t xml:space="preserve">NICE closed its $955 million acquisition of Cognigy in September 2025, creating the most complete CCaaS + conversational AI stack in the market. NICE brings dominant compliance recording infrastructure while Cognigy brings enterprise-grade conversational and agentic AI with strong European roots.</w:t>
      </w:r>
    </w:p>
    <w:p>
      <w:pPr>
        <w:spacing w:after="120"/>
      </w:pPr>
      <w:r>
        <w:rPr>
          <w:rFonts w:ascii="Arial" w:cs="Arial" w:eastAsia="Arial" w:hAnsi="Arial"/>
          <w:b/>
          <w:bCs/>
          <w:sz w:val="22"/>
          <w:szCs w:val="22"/>
        </w:rPr>
        <w:t xml:space="preserve">Voice AI Capabilities: </w:t>
      </w:r>
      <w:r>
        <w:rPr>
          <w:rFonts w:ascii="Arial" w:cs="Arial" w:eastAsia="Arial" w:hAnsi="Arial"/>
          <w:sz w:val="22"/>
          <w:szCs w:val="22"/>
        </w:rPr>
        <w:t xml:space="preserve">Post-acquisition, the combined platform offers end-to-end voice AI with Cognigy's engine running inside NICE's CXone infrastructure. The 2025.20 release added enhanced AI observability for LLM requests, including real-time webhook logging for compliance purposes.</w:t>
      </w:r>
    </w:p>
    <w:p>
      <w:pPr>
        <w:pStyle w:val="Heading3"/>
        <w:spacing w:after="160" w:before="240"/>
      </w:pPr>
      <w:r>
        <w:rPr>
          <w:rFonts w:ascii="Arial" w:cs="Arial" w:eastAsia="Arial" w:hAnsi="Arial"/>
          <w:b/>
          <w:bCs/>
          <w:sz w:val="22"/>
          <w:szCs w:val="22"/>
        </w:rPr>
        <w:t xml:space="preserve">Governance Capabilities</w:t>
      </w:r>
    </w:p>
    <w:p>
      <w:pPr>
        <w:pStyle w:val="ListParagraph"/>
        <w:numPr>
          <w:ilvl w:val="0"/>
          <w:numId w:val="2"/>
        </w:numPr>
        <w:spacing w:after="80"/>
      </w:pPr>
      <w:r>
        <w:rPr>
          <w:rFonts w:ascii="Arial" w:cs="Arial" w:eastAsia="Arial" w:hAnsi="Arial"/>
          <w:b/>
          <w:bCs/>
          <w:sz w:val="22"/>
          <w:szCs w:val="22"/>
        </w:rPr>
        <w:t xml:space="preserve">Audit trails: </w:t>
      </w:r>
      <w:r>
        <w:rPr>
          <w:rFonts w:ascii="Arial" w:cs="Arial" w:eastAsia="Arial" w:hAnsi="Arial"/>
          <w:sz w:val="22"/>
          <w:szCs w:val="22"/>
        </w:rPr>
        <w:t xml:space="preserve">NICE's interaction recording captures and governs all interactions across voice and digital channels. Automated policies enforce retention, deletion, redaction, and audit readiness. Cognigy adds OData request audit logging and webhook-based LLM request capture.</w:t>
      </w:r>
    </w:p>
    <w:p>
      <w:pPr>
        <w:pStyle w:val="ListParagraph"/>
        <w:numPr>
          <w:ilvl w:val="0"/>
          <w:numId w:val="2"/>
        </w:numPr>
        <w:spacing w:after="80"/>
      </w:pPr>
      <w:r>
        <w:rPr>
          <w:rFonts w:ascii="Arial" w:cs="Arial" w:eastAsia="Arial" w:hAnsi="Arial"/>
          <w:b/>
          <w:bCs/>
          <w:sz w:val="22"/>
          <w:szCs w:val="22"/>
        </w:rPr>
        <w:t xml:space="preserve">Policy enforcement: </w:t>
      </w:r>
      <w:r>
        <w:rPr>
          <w:rFonts w:ascii="Arial" w:cs="Arial" w:eastAsia="Arial" w:hAnsi="Arial"/>
          <w:sz w:val="22"/>
          <w:szCs w:val="22"/>
        </w:rPr>
        <w:t xml:space="preserve">Cognigy's AI Studio enables teams to define goals, guardrails, and actions. Supports RBAC, configurable compliance controls, and encrypted deployment.</w:t>
      </w:r>
    </w:p>
    <w:p>
      <w:pPr>
        <w:pStyle w:val="ListParagraph"/>
        <w:numPr>
          <w:ilvl w:val="0"/>
          <w:numId w:val="2"/>
        </w:numPr>
        <w:spacing w:after="80"/>
      </w:pPr>
      <w:r>
        <w:rPr>
          <w:rFonts w:ascii="Arial" w:cs="Arial" w:eastAsia="Arial" w:hAnsi="Arial"/>
          <w:b/>
          <w:bCs/>
          <w:sz w:val="22"/>
          <w:szCs w:val="22"/>
        </w:rPr>
        <w:t xml:space="preserve">Real-time monitoring: </w:t>
      </w:r>
      <w:r>
        <w:rPr>
          <w:rFonts w:ascii="Arial" w:cs="Arial" w:eastAsia="Arial" w:hAnsi="Arial"/>
          <w:sz w:val="22"/>
          <w:szCs w:val="22"/>
        </w:rPr>
        <w:t xml:space="preserve">NICE's quality management can analyze 100% of customer-agent conversations (not just samples) for compliance gaps, sentiment, and policy adherence.</w:t>
      </w:r>
    </w:p>
    <w:p>
      <w:pPr>
        <w:spacing w:after="120"/>
      </w:pPr>
      <w:r>
        <w:rPr>
          <w:rFonts w:ascii="Arial" w:cs="Arial" w:eastAsia="Arial" w:hAnsi="Arial"/>
          <w:b/>
          <w:bCs/>
          <w:sz w:val="22"/>
          <w:szCs w:val="22"/>
        </w:rPr>
        <w:t xml:space="preserve">Banking Production Evidence: </w:t>
      </w:r>
      <w:r>
        <w:rPr>
          <w:rFonts w:ascii="Arial" w:cs="Arial" w:eastAsia="Arial" w:hAnsi="Arial"/>
          <w:sz w:val="22"/>
          <w:szCs w:val="22"/>
        </w:rPr>
        <w:t xml:space="preserve">NICE serves major financial institutions globally. Recently won an eight-figure ACV deal with a top-ten global bank (unnamed). Cognigy previously served regulated enterprises including Lufthansa Group and Mercedes-Benz.</w:t>
      </w:r>
    </w:p>
    <w:p>
      <w:pPr>
        <w:spacing w:after="120"/>
      </w:pPr>
      <w:r>
        <w:rPr>
          <w:rFonts w:ascii="Arial" w:cs="Arial" w:eastAsia="Arial" w:hAnsi="Arial"/>
          <w:b/>
          <w:bCs/>
          <w:sz w:val="22"/>
          <w:szCs w:val="22"/>
        </w:rPr>
        <w:t xml:space="preserve">Data Sovereignty: </w:t>
      </w:r>
      <w:r>
        <w:rPr>
          <w:rFonts w:ascii="Arial" w:cs="Arial" w:eastAsia="Arial" w:hAnsi="Arial"/>
          <w:sz w:val="22"/>
          <w:szCs w:val="22"/>
        </w:rPr>
        <w:t xml:space="preserve">Cognigy offers on-premise and air-gapped deployment options. German-headquartered with EU data processing infrastructure, advantaging GDPR compliance.</w:t>
      </w:r>
    </w:p>
    <w:p>
      <w:pPr>
        <w:spacing w:after="120"/>
      </w:pPr>
      <w:r>
        <w:rPr>
          <w:rFonts w:ascii="Arial" w:cs="Arial" w:eastAsia="Arial" w:hAnsi="Arial"/>
          <w:b/>
          <w:bCs/>
          <w:sz w:val="22"/>
          <w:szCs w:val="22"/>
        </w:rPr>
        <w:t xml:space="preserve">Certifications: </w:t>
      </w:r>
      <w:r>
        <w:rPr>
          <w:rFonts w:ascii="Arial" w:cs="Arial" w:eastAsia="Arial" w:hAnsi="Arial"/>
          <w:sz w:val="22"/>
          <w:szCs w:val="22"/>
        </w:rPr>
        <w:t xml:space="preserve">Cognigy: ISO 27001, ISO 27701, ISO 42001, SOC 2 Type II, TISAX, BSI C5, GDPR, CCPA, HIPAA, PCI DSS.</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Enterprise contracts; Cognigy's expected ARR growth is 80% in 2026. Typical CCaaS deals run six to eight figures annually.</w:t>
      </w:r>
    </w:p>
    <w:p>
      <w:pPr>
        <w:spacing w:after="120"/>
      </w:pPr>
      <w:r>
        <w:rPr>
          <w:rFonts w:ascii="Arial" w:cs="Arial" w:eastAsia="Arial" w:hAnsi="Arial"/>
          <w:b/>
          <w:bCs/>
          <w:sz w:val="22"/>
          <w:szCs w:val="22"/>
        </w:rPr>
        <w:t xml:space="preserve">Partner Ecosystem: </w:t>
      </w:r>
      <w:r>
        <w:rPr>
          <w:rFonts w:ascii="Arial" w:cs="Arial" w:eastAsia="Arial" w:hAnsi="Arial"/>
          <w:sz w:val="22"/>
          <w:szCs w:val="22"/>
        </w:rPr>
        <w:t xml:space="preserve">Broad partner network including Salesforce and various SI partners.</w:t>
      </w:r>
    </w:p>
    <w:p>
      <w:r>
        <w:br w:type="page"/>
      </w:r>
    </w:p>
    <w:p>
      <w:pPr>
        <w:pStyle w:val="Heading2"/>
        <w:spacing w:after="160" w:before="240"/>
      </w:pPr>
      <w:r>
        <w:rPr>
          <w:rFonts w:ascii="Arial" w:cs="Arial" w:eastAsia="Arial" w:hAnsi="Arial"/>
          <w:b/>
          <w:bCs/>
          <w:sz w:val="22"/>
          <w:szCs w:val="22"/>
        </w:rPr>
        <w:t xml:space="preserve">2. Kasisto (KAI / KAIgentic)</w:t>
      </w:r>
    </w:p>
    <w:p>
      <w:pPr>
        <w:spacing w:after="120"/>
      </w:pPr>
      <w:r>
        <w:rPr>
          <w:rFonts w:ascii="Arial" w:cs="Arial" w:eastAsia="Arial" w:hAnsi="Arial"/>
          <w:b/>
          <w:bCs/>
          <w:sz w:val="22"/>
          <w:szCs w:val="22"/>
        </w:rPr>
        <w:t xml:space="preserve">Overview: </w:t>
      </w:r>
      <w:r>
        <w:rPr>
          <w:rFonts w:ascii="Arial" w:cs="Arial" w:eastAsia="Arial" w:hAnsi="Arial"/>
          <w:sz w:val="22"/>
          <w:szCs w:val="22"/>
        </w:rPr>
        <w:t xml:space="preserve">Kasisto is the most banking-specific conversational AI vendor in this landscape. Founded by former SRI International researchers (the team behind Siri), Kasisto built its entire platform around financial services from day one. The April 2025 launch of KAIgentic marked their move into agentic AI with compliance as a first-class concern.</w:t>
      </w:r>
    </w:p>
    <w:p>
      <w:pPr>
        <w:spacing w:after="120"/>
      </w:pPr>
      <w:r>
        <w:rPr>
          <w:rFonts w:ascii="Arial" w:cs="Arial" w:eastAsia="Arial" w:hAnsi="Arial"/>
          <w:b/>
          <w:bCs/>
          <w:sz w:val="22"/>
          <w:szCs w:val="22"/>
        </w:rPr>
        <w:t xml:space="preserve">Voice AI Capabilities: </w:t>
      </w:r>
      <w:r>
        <w:rPr>
          <w:rFonts w:ascii="Arial" w:cs="Arial" w:eastAsia="Arial" w:hAnsi="Arial"/>
          <w:sz w:val="22"/>
          <w:szCs w:val="22"/>
        </w:rPr>
        <w:t xml:space="preserve">Kasisto operates across multiple digital channels. Voice is supported but Kasisto is historically text-first. KAIgentic adds agentic capabilities for autonomous task execution within compliance boundaries.</w:t>
      </w:r>
    </w:p>
    <w:p>
      <w:pPr>
        <w:pStyle w:val="Heading3"/>
        <w:spacing w:after="160" w:before="240"/>
      </w:pPr>
      <w:r>
        <w:rPr>
          <w:rFonts w:ascii="Arial" w:cs="Arial" w:eastAsia="Arial" w:hAnsi="Arial"/>
          <w:b/>
          <w:bCs/>
          <w:sz w:val="22"/>
          <w:szCs w:val="22"/>
        </w:rPr>
        <w:t xml:space="preserve">Governance Capabilities</w:t>
      </w:r>
    </w:p>
    <w:p>
      <w:pPr>
        <w:pStyle w:val="ListParagraph"/>
        <w:numPr>
          <w:ilvl w:val="0"/>
          <w:numId w:val="2"/>
        </w:numPr>
        <w:spacing w:after="80"/>
      </w:pPr>
      <w:r>
        <w:rPr>
          <w:rFonts w:ascii="Arial" w:cs="Arial" w:eastAsia="Arial" w:hAnsi="Arial"/>
          <w:b/>
          <w:bCs/>
          <w:sz w:val="22"/>
          <w:szCs w:val="22"/>
        </w:rPr>
        <w:t xml:space="preserve">Policy enforcement: </w:t>
      </w:r>
      <w:r>
        <w:rPr>
          <w:rFonts w:ascii="Arial" w:cs="Arial" w:eastAsia="Arial" w:hAnsi="Arial"/>
          <w:sz w:val="22"/>
          <w:szCs w:val="22"/>
        </w:rPr>
        <w:t xml:space="preserve">KAIgentic enforces policies before responses are delivered and audits outputs afterward. Retrieval from verified trusted data sources in real time.</w:t>
      </w:r>
    </w:p>
    <w:p>
      <w:pPr>
        <w:pStyle w:val="ListParagraph"/>
        <w:numPr>
          <w:ilvl w:val="0"/>
          <w:numId w:val="2"/>
        </w:numPr>
        <w:spacing w:after="80"/>
      </w:pPr>
      <w:r>
        <w:rPr>
          <w:rFonts w:ascii="Arial" w:cs="Arial" w:eastAsia="Arial" w:hAnsi="Arial"/>
          <w:b/>
          <w:bCs/>
          <w:sz w:val="22"/>
          <w:szCs w:val="22"/>
        </w:rPr>
        <w:t xml:space="preserve">Audit trails: </w:t>
      </w:r>
      <w:r>
        <w:rPr>
          <w:rFonts w:ascii="Arial" w:cs="Arial" w:eastAsia="Arial" w:hAnsi="Arial"/>
          <w:sz w:val="22"/>
          <w:szCs w:val="22"/>
        </w:rPr>
        <w:t xml:space="preserve">Long-term record retention for strict banking regulatory compliance. PII scrubbing with proprietary algorithms. Patented security escalation (U.S. Patent 10,440,003) for context-sensitive authentication.</w:t>
      </w:r>
    </w:p>
    <w:p>
      <w:pPr>
        <w:pStyle w:val="ListParagraph"/>
        <w:numPr>
          <w:ilvl w:val="0"/>
          <w:numId w:val="2"/>
        </w:numPr>
        <w:spacing w:after="80"/>
      </w:pPr>
      <w:r>
        <w:rPr>
          <w:rFonts w:ascii="Arial" w:cs="Arial" w:eastAsia="Arial" w:hAnsi="Arial"/>
          <w:b/>
          <w:bCs/>
          <w:sz w:val="22"/>
          <w:szCs w:val="22"/>
        </w:rPr>
        <w:t xml:space="preserve">LLM deployment flexibility: </w:t>
      </w:r>
      <w:r>
        <w:rPr>
          <w:rFonts w:ascii="Arial" w:cs="Arial" w:eastAsia="Arial" w:hAnsi="Arial"/>
          <w:sz w:val="22"/>
          <w:szCs w:val="22"/>
        </w:rPr>
        <w:t xml:space="preserve">Banks can deploy KaiGPT (domain-tuned banking LLM) on-premises or in their own cloud, addressing data governance concerns.</w:t>
      </w:r>
    </w:p>
    <w:p>
      <w:pPr>
        <w:spacing w:after="120"/>
      </w:pPr>
      <w:r>
        <w:rPr>
          <w:rFonts w:ascii="Arial" w:cs="Arial" w:eastAsia="Arial" w:hAnsi="Arial"/>
          <w:b/>
          <w:bCs/>
          <w:sz w:val="22"/>
          <w:szCs w:val="22"/>
        </w:rPr>
        <w:t xml:space="preserve">Banking Production Evidence: </w:t>
      </w:r>
      <w:r>
        <w:rPr>
          <w:rFonts w:ascii="Arial" w:cs="Arial" w:eastAsia="Arial" w:hAnsi="Arial"/>
          <w:sz w:val="22"/>
          <w:szCs w:val="22"/>
        </w:rPr>
        <w:t xml:space="preserve">Named customers include J.P. Morgan, DBS Bank, Standard Chartered, TD Bank, Westpac (via BT Financial), Emirates NBD, Manulife Bank, Nedbank, and BankSouth. Claims more global production deployments in banks than any other conversational AI company.</w:t>
      </w:r>
    </w:p>
    <w:p>
      <w:pPr>
        <w:spacing w:after="120"/>
      </w:pPr>
      <w:r>
        <w:rPr>
          <w:rFonts w:ascii="Arial" w:cs="Arial" w:eastAsia="Arial" w:hAnsi="Arial"/>
          <w:b/>
          <w:bCs/>
          <w:sz w:val="22"/>
          <w:szCs w:val="22"/>
        </w:rPr>
        <w:t xml:space="preserve">Data Sovereignty: </w:t>
      </w:r>
      <w:r>
        <w:rPr>
          <w:rFonts w:ascii="Arial" w:cs="Arial" w:eastAsia="Arial" w:hAnsi="Arial"/>
          <w:sz w:val="22"/>
          <w:szCs w:val="22"/>
        </w:rPr>
        <w:t xml:space="preserve">Supports SaaS, hybrid (runtime on-prem with cloud portal), and full on-premises deployment of KaiGPT.</w:t>
      </w:r>
    </w:p>
    <w:p>
      <w:pPr>
        <w:spacing w:after="120"/>
      </w:pPr>
      <w:r>
        <w:rPr>
          <w:rFonts w:ascii="Arial" w:cs="Arial" w:eastAsia="Arial" w:hAnsi="Arial"/>
          <w:b/>
          <w:bCs/>
          <w:sz w:val="22"/>
          <w:szCs w:val="22"/>
        </w:rPr>
        <w:t xml:space="preserve">Certifications: </w:t>
      </w:r>
      <w:r>
        <w:rPr>
          <w:rFonts w:ascii="Arial" w:cs="Arial" w:eastAsia="Arial" w:hAnsi="Arial"/>
          <w:sz w:val="22"/>
          <w:szCs w:val="22"/>
        </w:rPr>
        <w:t xml:space="preserve">SOC 2 audit completed. GDPR and CCPA compliance documented. ISO 27001 status not confirmed in public sources.</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Enterprise custom pricing. Typical banking AI platform deals run mid-six to seven figures annually.</w:t>
      </w:r>
    </w:p>
    <w:p>
      <w:pPr>
        <w:spacing w:after="120"/>
      </w:pPr>
      <w:r>
        <w:rPr>
          <w:rFonts w:ascii="Arial" w:cs="Arial" w:eastAsia="Arial" w:hAnsi="Arial"/>
          <w:b/>
          <w:bCs/>
          <w:sz w:val="22"/>
          <w:szCs w:val="22"/>
        </w:rPr>
        <w:t xml:space="preserve">Partner Ecosystem: </w:t>
      </w:r>
      <w:r>
        <w:rPr>
          <w:rFonts w:ascii="Arial" w:cs="Arial" w:eastAsia="Arial" w:hAnsi="Arial"/>
          <w:sz w:val="22"/>
          <w:szCs w:val="22"/>
        </w:rPr>
        <w:t xml:space="preserve">Partnerships with Microsoft (Azure, announced November 2025), Moneythor, FIS, and Finastra.</w:t>
      </w:r>
    </w:p>
    <w:p>
      <w:r>
        <w:br w:type="page"/>
      </w:r>
    </w:p>
    <w:p>
      <w:pPr>
        <w:pStyle w:val="Heading2"/>
        <w:spacing w:after="160" w:before="240"/>
      </w:pPr>
      <w:r>
        <w:rPr>
          <w:rFonts w:ascii="Arial" w:cs="Arial" w:eastAsia="Arial" w:hAnsi="Arial"/>
          <w:b/>
          <w:bCs/>
          <w:sz w:val="22"/>
          <w:szCs w:val="22"/>
        </w:rPr>
        <w:t xml:space="preserve">3. Genesys Cloud</w:t>
      </w:r>
    </w:p>
    <w:p>
      <w:pPr>
        <w:spacing w:after="120"/>
      </w:pPr>
      <w:r>
        <w:rPr>
          <w:rFonts w:ascii="Arial" w:cs="Arial" w:eastAsia="Arial" w:hAnsi="Arial"/>
          <w:b/>
          <w:bCs/>
          <w:sz w:val="22"/>
          <w:szCs w:val="22"/>
        </w:rPr>
        <w:t xml:space="preserve">Overview: </w:t>
      </w:r>
      <w:r>
        <w:rPr>
          <w:rFonts w:ascii="Arial" w:cs="Arial" w:eastAsia="Arial" w:hAnsi="Arial"/>
          <w:sz w:val="22"/>
          <w:szCs w:val="22"/>
        </w:rPr>
        <w:t xml:space="preserve">Genesys is one of the two dominant CCaaS platforms globally (alongside NICE). Their 2025-2026 push into agentic AI, combined with a deep compliance portfolio and massive banking installed base, makes them a formidable player.</w:t>
      </w:r>
    </w:p>
    <w:p>
      <w:pPr>
        <w:spacing w:after="120"/>
      </w:pPr>
      <w:r>
        <w:rPr>
          <w:rFonts w:ascii="Arial" w:cs="Arial" w:eastAsia="Arial" w:hAnsi="Arial"/>
          <w:b/>
          <w:bCs/>
          <w:sz w:val="22"/>
          <w:szCs w:val="22"/>
        </w:rPr>
        <w:t xml:space="preserve">Voice AI Capabilities: </w:t>
      </w:r>
      <w:r>
        <w:rPr>
          <w:rFonts w:ascii="Arial" w:cs="Arial" w:eastAsia="Arial" w:hAnsi="Arial"/>
          <w:sz w:val="22"/>
          <w:szCs w:val="22"/>
        </w:rPr>
        <w:t xml:space="preserve">Genesys Cloud's Agentic Virtual Agents handle complex multi-step workflows across voice and digital channels. Can authenticate customers, process loan requests, handle claims, and manage account servicing in multiple languages.</w:t>
      </w:r>
    </w:p>
    <w:p>
      <w:pPr>
        <w:pStyle w:val="Heading3"/>
        <w:spacing w:after="160" w:before="240"/>
      </w:pPr>
      <w:r>
        <w:rPr>
          <w:rFonts w:ascii="Arial" w:cs="Arial" w:eastAsia="Arial" w:hAnsi="Arial"/>
          <w:b/>
          <w:bCs/>
          <w:sz w:val="22"/>
          <w:szCs w:val="22"/>
        </w:rPr>
        <w:t xml:space="preserve">Governance Capabilities</w:t>
      </w:r>
    </w:p>
    <w:p>
      <w:pPr>
        <w:pStyle w:val="ListParagraph"/>
        <w:numPr>
          <w:ilvl w:val="0"/>
          <w:numId w:val="2"/>
        </w:numPr>
        <w:spacing w:after="80"/>
      </w:pPr>
      <w:r>
        <w:rPr>
          <w:rFonts w:ascii="Arial" w:cs="Arial" w:eastAsia="Arial" w:hAnsi="Arial"/>
          <w:b/>
          <w:bCs/>
          <w:sz w:val="22"/>
          <w:szCs w:val="22"/>
        </w:rPr>
        <w:t xml:space="preserve">Pre-deployment certification: </w:t>
      </w:r>
      <w:r>
        <w:rPr>
          <w:rFonts w:ascii="Arial" w:cs="Arial" w:eastAsia="Arial" w:hAnsi="Arial"/>
          <w:sz w:val="22"/>
          <w:szCs w:val="22"/>
        </w:rPr>
        <w:t xml:space="preserve">Simulation-based certification validates workflows before they go live, a capability most competitors lack.</w:t>
      </w:r>
    </w:p>
    <w:p>
      <w:pPr>
        <w:pStyle w:val="ListParagraph"/>
        <w:numPr>
          <w:ilvl w:val="0"/>
          <w:numId w:val="2"/>
        </w:numPr>
        <w:spacing w:after="80"/>
      </w:pPr>
      <w:r>
        <w:rPr>
          <w:rFonts w:ascii="Arial" w:cs="Arial" w:eastAsia="Arial" w:hAnsi="Arial"/>
          <w:b/>
          <w:bCs/>
          <w:sz w:val="22"/>
          <w:szCs w:val="22"/>
        </w:rPr>
        <w:t xml:space="preserve">Runtime policy enforcement: </w:t>
      </w:r>
      <w:r>
        <w:rPr>
          <w:rFonts w:ascii="Arial" w:cs="Arial" w:eastAsia="Arial" w:hAnsi="Arial"/>
          <w:sz w:val="22"/>
          <w:szCs w:val="22"/>
        </w:rPr>
        <w:t xml:space="preserve">Every autonomous decision is planned, validated, and logged. Deterministic compliance layers add audits to prove consistency and monitoring that flags exceptions.</w:t>
      </w:r>
    </w:p>
    <w:p>
      <w:pPr>
        <w:pStyle w:val="ListParagraph"/>
        <w:numPr>
          <w:ilvl w:val="0"/>
          <w:numId w:val="2"/>
        </w:numPr>
        <w:spacing w:after="80"/>
      </w:pPr>
      <w:r>
        <w:rPr>
          <w:rFonts w:ascii="Arial" w:cs="Arial" w:eastAsia="Arial" w:hAnsi="Arial"/>
          <w:b/>
          <w:bCs/>
          <w:sz w:val="22"/>
          <w:szCs w:val="22"/>
        </w:rPr>
        <w:t xml:space="preserve">Audit trails: </w:t>
      </w:r>
      <w:r>
        <w:rPr>
          <w:rFonts w:ascii="Arial" w:cs="Arial" w:eastAsia="Arial" w:hAnsi="Arial"/>
          <w:sz w:val="22"/>
          <w:szCs w:val="22"/>
        </w:rPr>
        <w:t xml:space="preserve">Integrated analytics track decisions with real-time insights and complete audit trails. Transparent action logs provide post-deployment assurance.</w:t>
      </w:r>
    </w:p>
    <w:p>
      <w:pPr>
        <w:spacing w:after="120"/>
      </w:pPr>
      <w:r>
        <w:rPr>
          <w:rFonts w:ascii="Arial" w:cs="Arial" w:eastAsia="Arial" w:hAnsi="Arial"/>
          <w:b/>
          <w:bCs/>
          <w:sz w:val="22"/>
          <w:szCs w:val="22"/>
        </w:rPr>
        <w:t xml:space="preserve">Banking Production Evidence: </w:t>
      </w:r>
      <w:r>
        <w:rPr>
          <w:rFonts w:ascii="Arial" w:cs="Arial" w:eastAsia="Arial" w:hAnsi="Arial"/>
          <w:sz w:val="22"/>
          <w:szCs w:val="22"/>
        </w:rPr>
        <w:t xml:space="preserve">Strong named references: Siam Commercial Bank (Thailand, 50% reduction in repeat calls), Itau Bank Chile, P&amp;N Group (Australia, 100% call summarization), TymeBank (Africa/Asia, TIME100 2025). Unnamed top-ten global bank with eight-figure ACV.</w:t>
      </w:r>
    </w:p>
    <w:p>
      <w:pPr>
        <w:spacing w:after="120"/>
      </w:pPr>
      <w:r>
        <w:rPr>
          <w:rFonts w:ascii="Arial" w:cs="Arial" w:eastAsia="Arial" w:hAnsi="Arial"/>
          <w:b/>
          <w:bCs/>
          <w:sz w:val="22"/>
          <w:szCs w:val="22"/>
        </w:rPr>
        <w:t xml:space="preserve">Data Sovereignty: </w:t>
      </w:r>
      <w:r>
        <w:rPr>
          <w:rFonts w:ascii="Arial" w:cs="Arial" w:eastAsia="Arial" w:hAnsi="Arial"/>
          <w:sz w:val="22"/>
          <w:szCs w:val="22"/>
        </w:rPr>
        <w:t xml:space="preserve">Multi-region cloud with regional compliance certifications. Does not offer on-premise deployment (cloud-only).</w:t>
      </w:r>
    </w:p>
    <w:p>
      <w:pPr>
        <w:spacing w:after="120"/>
      </w:pPr>
      <w:r>
        <w:rPr>
          <w:rFonts w:ascii="Arial" w:cs="Arial" w:eastAsia="Arial" w:hAnsi="Arial"/>
          <w:b/>
          <w:bCs/>
          <w:sz w:val="22"/>
          <w:szCs w:val="22"/>
        </w:rPr>
        <w:t xml:space="preserve">Certifications: </w:t>
      </w:r>
      <w:r>
        <w:rPr>
          <w:rFonts w:ascii="Arial" w:cs="Arial" w:eastAsia="Arial" w:hAnsi="Arial"/>
          <w:sz w:val="22"/>
          <w:szCs w:val="22"/>
        </w:rPr>
        <w:t xml:space="preserve">PCI DSS, SOC 1/2 Type 2, ISO 27001/27017/27018/27701/42001, FedRAMP Moderate, DoD IL2, IRAP (APAC), C5 (EMEA), DORA compliance.</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Enterprise pricing with ACV typically six to eight figures for banking.</w:t>
      </w:r>
    </w:p>
    <w:p>
      <w:pPr>
        <w:spacing w:after="120"/>
      </w:pPr>
      <w:r>
        <w:rPr>
          <w:rFonts w:ascii="Arial" w:cs="Arial" w:eastAsia="Arial" w:hAnsi="Arial"/>
          <w:b/>
          <w:bCs/>
          <w:sz w:val="22"/>
          <w:szCs w:val="22"/>
        </w:rPr>
        <w:t xml:space="preserve">Partner Ecosystem: </w:t>
      </w:r>
      <w:r>
        <w:rPr>
          <w:rFonts w:ascii="Arial" w:cs="Arial" w:eastAsia="Arial" w:hAnsi="Arial"/>
          <w:sz w:val="22"/>
          <w:szCs w:val="22"/>
        </w:rPr>
        <w:t xml:space="preserve">Extensive SI ecosystem including Salesforce (CX Cloud joint offering), Deloitte, Accenture, and regional partners.</w:t>
      </w:r>
    </w:p>
    <w:p>
      <w:r>
        <w:br w:type="page"/>
      </w:r>
    </w:p>
    <w:p>
      <w:pPr>
        <w:pStyle w:val="Heading2"/>
        <w:spacing w:after="160" w:before="240"/>
      </w:pPr>
      <w:r>
        <w:rPr>
          <w:rFonts w:ascii="Arial" w:cs="Arial" w:eastAsia="Arial" w:hAnsi="Arial"/>
          <w:b/>
          <w:bCs/>
          <w:sz w:val="22"/>
          <w:szCs w:val="22"/>
        </w:rPr>
        <w:t xml:space="preserve">4. Kore.ai</w:t>
      </w:r>
    </w:p>
    <w:p>
      <w:pPr>
        <w:spacing w:after="120"/>
      </w:pPr>
      <w:r>
        <w:rPr>
          <w:rFonts w:ascii="Arial" w:cs="Arial" w:eastAsia="Arial" w:hAnsi="Arial"/>
          <w:b/>
          <w:bCs/>
          <w:sz w:val="22"/>
          <w:szCs w:val="22"/>
        </w:rPr>
        <w:t xml:space="preserve">Overview: </w:t>
      </w:r>
      <w:r>
        <w:rPr>
          <w:rFonts w:ascii="Arial" w:cs="Arial" w:eastAsia="Arial" w:hAnsi="Arial"/>
          <w:sz w:val="22"/>
          <w:szCs w:val="22"/>
        </w:rPr>
        <w:t xml:space="preserve">Enterprise conversational AI platform with strong banking verticalization. The Morgan Stanley deployment demonstrates credibility at the highest tier of financial services. Emphasizes agentic AI with governance guardrails built into the execution framework.</w:t>
      </w:r>
    </w:p>
    <w:p>
      <w:pPr>
        <w:spacing w:after="120"/>
      </w:pPr>
      <w:r>
        <w:rPr>
          <w:rFonts w:ascii="Arial" w:cs="Arial" w:eastAsia="Arial" w:hAnsi="Arial"/>
          <w:b/>
          <w:bCs/>
          <w:sz w:val="22"/>
          <w:szCs w:val="22"/>
        </w:rPr>
        <w:t xml:space="preserve">Voice AI Capabilities: </w:t>
      </w:r>
      <w:r>
        <w:rPr>
          <w:rFonts w:ascii="Arial" w:cs="Arial" w:eastAsia="Arial" w:hAnsi="Arial"/>
          <w:sz w:val="22"/>
          <w:szCs w:val="22"/>
        </w:rPr>
        <w:t xml:space="preserve">Full voice and digital channel support. Deployed to replace legacy IVR systems with intelligent voice agents using banking-specific generative AI models. Pre-built banking intents. 12 documented use cases for AI agents in finance.</w:t>
      </w:r>
    </w:p>
    <w:p>
      <w:pPr>
        <w:pStyle w:val="Heading3"/>
        <w:spacing w:after="160" w:before="240"/>
      </w:pPr>
      <w:r>
        <w:rPr>
          <w:rFonts w:ascii="Arial" w:cs="Arial" w:eastAsia="Arial" w:hAnsi="Arial"/>
          <w:b/>
          <w:bCs/>
          <w:sz w:val="22"/>
          <w:szCs w:val="22"/>
        </w:rPr>
        <w:t xml:space="preserve">Governance Capabilities</w:t>
      </w:r>
    </w:p>
    <w:p>
      <w:pPr>
        <w:pStyle w:val="ListParagraph"/>
        <w:numPr>
          <w:ilvl w:val="0"/>
          <w:numId w:val="2"/>
        </w:numPr>
        <w:spacing w:after="80"/>
      </w:pPr>
      <w:r>
        <w:rPr>
          <w:rFonts w:ascii="Arial" w:cs="Arial" w:eastAsia="Arial" w:hAnsi="Arial"/>
          <w:b/>
          <w:bCs/>
          <w:sz w:val="22"/>
          <w:szCs w:val="22"/>
        </w:rPr>
        <w:t xml:space="preserve">Guardrails: </w:t>
      </w:r>
      <w:r>
        <w:rPr>
          <w:rFonts w:ascii="Arial" w:cs="Arial" w:eastAsia="Arial" w:hAnsi="Arial"/>
          <w:sz w:val="22"/>
          <w:szCs w:val="22"/>
        </w:rPr>
        <w:t xml:space="preserve">Configurable guardrails constraining AI agent behavior within defined risk, regulatory, and policy boundaries across KYC, AML, lending, insurance, and reporting workflows.</w:t>
      </w:r>
    </w:p>
    <w:p>
      <w:pPr>
        <w:pStyle w:val="ListParagraph"/>
        <w:numPr>
          <w:ilvl w:val="0"/>
          <w:numId w:val="2"/>
        </w:numPr>
        <w:spacing w:after="80"/>
      </w:pPr>
      <w:r>
        <w:rPr>
          <w:rFonts w:ascii="Arial" w:cs="Arial" w:eastAsia="Arial" w:hAnsi="Arial"/>
          <w:b/>
          <w:bCs/>
          <w:sz w:val="22"/>
          <w:szCs w:val="22"/>
        </w:rPr>
        <w:t xml:space="preserve">Audit trails: </w:t>
      </w:r>
      <w:r>
        <w:rPr>
          <w:rFonts w:ascii="Arial" w:cs="Arial" w:eastAsia="Arial" w:hAnsi="Arial"/>
          <w:sz w:val="22"/>
          <w:szCs w:val="22"/>
        </w:rPr>
        <w:t xml:space="preserve">Full audit logging with automatic monitoring of all system activities including security policy changes, SSO events, user management, and role/permission changes.</w:t>
      </w:r>
    </w:p>
    <w:p>
      <w:pPr>
        <w:pStyle w:val="ListParagraph"/>
        <w:numPr>
          <w:ilvl w:val="0"/>
          <w:numId w:val="2"/>
        </w:numPr>
        <w:spacing w:after="80"/>
      </w:pPr>
      <w:r>
        <w:rPr>
          <w:rFonts w:ascii="Arial" w:cs="Arial" w:eastAsia="Arial" w:hAnsi="Arial"/>
          <w:b/>
          <w:bCs/>
          <w:sz w:val="22"/>
          <w:szCs w:val="22"/>
        </w:rPr>
        <w:t xml:space="preserve">Explainability: </w:t>
      </w:r>
      <w:r>
        <w:rPr>
          <w:rFonts w:ascii="Arial" w:cs="Arial" w:eastAsia="Arial" w:hAnsi="Arial"/>
          <w:sz w:val="22"/>
          <w:szCs w:val="22"/>
        </w:rPr>
        <w:t xml:space="preserve">Explainability frameworks ensure every agent action is traceable and auditable.</w:t>
      </w:r>
    </w:p>
    <w:p>
      <w:pPr>
        <w:spacing w:after="120"/>
      </w:pPr>
      <w:r>
        <w:rPr>
          <w:rFonts w:ascii="Arial" w:cs="Arial" w:eastAsia="Arial" w:hAnsi="Arial"/>
          <w:b/>
          <w:bCs/>
          <w:sz w:val="22"/>
          <w:szCs w:val="22"/>
        </w:rPr>
        <w:t xml:space="preserve">Banking Production Evidence: </w:t>
      </w:r>
      <w:r>
        <w:rPr>
          <w:rFonts w:ascii="Arial" w:cs="Arial" w:eastAsia="Arial" w:hAnsi="Arial"/>
          <w:sz w:val="22"/>
          <w:szCs w:val="22"/>
        </w:rPr>
        <w:t xml:space="preserve">Morgan Stanley: 80,000+ financial advisors using AI for Work daily, 12% reduction in mundane task time, 22% increase in employee satisfaction. Unnamed major bank: legacy IVR replacement on secure AWS architecture.</w:t>
      </w:r>
    </w:p>
    <w:p>
      <w:pPr>
        <w:spacing w:after="120"/>
      </w:pPr>
      <w:r>
        <w:rPr>
          <w:rFonts w:ascii="Arial" w:cs="Arial" w:eastAsia="Arial" w:hAnsi="Arial"/>
          <w:b/>
          <w:bCs/>
          <w:sz w:val="22"/>
          <w:szCs w:val="22"/>
        </w:rPr>
        <w:t xml:space="preserve">Data Sovereignty: </w:t>
      </w:r>
      <w:r>
        <w:rPr>
          <w:rFonts w:ascii="Arial" w:cs="Arial" w:eastAsia="Arial" w:hAnsi="Arial"/>
          <w:sz w:val="22"/>
          <w:szCs w:val="22"/>
        </w:rPr>
        <w:t xml:space="preserve">Deployed on secure AWS architecture. On-premise options referenced but sovereign cloud deployments not confirmed.</w:t>
      </w:r>
    </w:p>
    <w:p>
      <w:pPr>
        <w:spacing w:after="120"/>
      </w:pPr>
      <w:r>
        <w:rPr>
          <w:rFonts w:ascii="Arial" w:cs="Arial" w:eastAsia="Arial" w:hAnsi="Arial"/>
          <w:b/>
          <w:bCs/>
          <w:sz w:val="22"/>
          <w:szCs w:val="22"/>
        </w:rPr>
        <w:t xml:space="preserve">Certifications: </w:t>
      </w:r>
      <w:r>
        <w:rPr>
          <w:rFonts w:ascii="Arial" w:cs="Arial" w:eastAsia="Arial" w:hAnsi="Arial"/>
          <w:sz w:val="22"/>
          <w:szCs w:val="22"/>
        </w:rPr>
        <w:t xml:space="preserve">Supports compliance with HIPAA, PCI, FINRA, SOC 2. Specific certification levels not confirmed in public documentation.</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Enterprise custom pricing. Approaching IPO readiness.</w:t>
      </w:r>
    </w:p>
    <w:p>
      <w:pPr>
        <w:spacing w:after="120"/>
      </w:pPr>
      <w:r>
        <w:rPr>
          <w:rFonts w:ascii="Arial" w:cs="Arial" w:eastAsia="Arial" w:hAnsi="Arial"/>
          <w:b/>
          <w:bCs/>
          <w:sz w:val="22"/>
          <w:szCs w:val="22"/>
        </w:rPr>
        <w:t xml:space="preserve">Partner Ecosystem: </w:t>
      </w:r>
      <w:r>
        <w:rPr>
          <w:rFonts w:ascii="Arial" w:cs="Arial" w:eastAsia="Arial" w:hAnsi="Arial"/>
          <w:sz w:val="22"/>
          <w:szCs w:val="22"/>
        </w:rPr>
        <w:t xml:space="preserve">Partnerships with cloud providers and SI firms. Microsoft ecosystem integration.</w:t>
      </w:r>
    </w:p>
    <w:p>
      <w:r>
        <w:br w:type="page"/>
      </w:r>
    </w:p>
    <w:p>
      <w:pPr>
        <w:pStyle w:val="Heading2"/>
        <w:spacing w:after="160" w:before="240"/>
      </w:pPr>
      <w:r>
        <w:rPr>
          <w:rFonts w:ascii="Arial" w:cs="Arial" w:eastAsia="Arial" w:hAnsi="Arial"/>
          <w:b/>
          <w:bCs/>
          <w:sz w:val="22"/>
          <w:szCs w:val="22"/>
        </w:rPr>
        <w:t xml:space="preserve">5. PolyAI</w:t>
      </w:r>
    </w:p>
    <w:p>
      <w:pPr>
        <w:spacing w:after="120"/>
      </w:pPr>
      <w:r>
        <w:rPr>
          <w:rFonts w:ascii="Arial" w:cs="Arial" w:eastAsia="Arial" w:hAnsi="Arial"/>
          <w:b/>
          <w:bCs/>
          <w:sz w:val="22"/>
          <w:szCs w:val="22"/>
        </w:rPr>
        <w:t xml:space="preserve">Overview: </w:t>
      </w:r>
      <w:r>
        <w:rPr>
          <w:rFonts w:ascii="Arial" w:cs="Arial" w:eastAsia="Arial" w:hAnsi="Arial"/>
          <w:sz w:val="22"/>
          <w:szCs w:val="22"/>
        </w:rPr>
        <w:t xml:space="preserve">Voice-first enterprise conversational AI, valued at $750 million after $86 million Series D in December 2025. Manages over 500 million calls across 100+ enterprise deployments in 45 languages and 25+ countries. Agent Studio launched April 2025.</w:t>
      </w:r>
    </w:p>
    <w:p>
      <w:pPr>
        <w:spacing w:after="120"/>
      </w:pPr>
      <w:r>
        <w:rPr>
          <w:rFonts w:ascii="Arial" w:cs="Arial" w:eastAsia="Arial" w:hAnsi="Arial"/>
          <w:b/>
          <w:bCs/>
          <w:sz w:val="22"/>
          <w:szCs w:val="22"/>
        </w:rPr>
        <w:t xml:space="preserve">Voice AI Capabilities: </w:t>
      </w:r>
      <w:r>
        <w:rPr>
          <w:rFonts w:ascii="Arial" w:cs="Arial" w:eastAsia="Arial" w:hAnsi="Arial"/>
          <w:sz w:val="22"/>
          <w:szCs w:val="22"/>
        </w:rPr>
        <w:t xml:space="preserve">Arguably the strongest pure voice AI platform in this analysis. Voice-first architecture with deep NLU, handling complex multi-turn conversations. 2,000+ live deployments demonstrate production scale.</w:t>
      </w:r>
    </w:p>
    <w:p>
      <w:pPr>
        <w:pStyle w:val="Heading3"/>
        <w:spacing w:after="160" w:before="240"/>
      </w:pPr>
      <w:r>
        <w:rPr>
          <w:rFonts w:ascii="Arial" w:cs="Arial" w:eastAsia="Arial" w:hAnsi="Arial"/>
          <w:b/>
          <w:bCs/>
          <w:sz w:val="22"/>
          <w:szCs w:val="22"/>
        </w:rPr>
        <w:t xml:space="preserve">Governance Capabilities</w:t>
      </w:r>
    </w:p>
    <w:p>
      <w:pPr>
        <w:pStyle w:val="ListParagraph"/>
        <w:numPr>
          <w:ilvl w:val="0"/>
          <w:numId w:val="2"/>
        </w:numPr>
        <w:spacing w:after="80"/>
      </w:pPr>
      <w:r>
        <w:rPr>
          <w:rFonts w:ascii="Arial" w:cs="Arial" w:eastAsia="Arial" w:hAnsi="Arial"/>
          <w:b/>
          <w:bCs/>
          <w:sz w:val="22"/>
          <w:szCs w:val="22"/>
        </w:rPr>
        <w:t xml:space="preserve">Governance gap: </w:t>
      </w:r>
      <w:r>
        <w:rPr>
          <w:rFonts w:ascii="Arial" w:cs="Arial" w:eastAsia="Arial" w:hAnsi="Arial"/>
          <w:sz w:val="22"/>
          <w:szCs w:val="22"/>
        </w:rPr>
        <w:t xml:space="preserve">Governance capabilities are less prominently marketed than voice quality. Enterprise-grade security is offered, but specific features like pre-execution policy enforcement, tamper-evident audit trails, and adversarial testing were not detailed in public documentation. This is a meaningful gap for regulated banking.</w:t>
      </w:r>
    </w:p>
    <w:p>
      <w:pPr>
        <w:spacing w:after="120"/>
      </w:pPr>
      <w:r>
        <w:rPr>
          <w:rFonts w:ascii="Arial" w:cs="Arial" w:eastAsia="Arial" w:hAnsi="Arial"/>
          <w:b/>
          <w:bCs/>
          <w:sz w:val="22"/>
          <w:szCs w:val="22"/>
        </w:rPr>
        <w:t xml:space="preserve">Banking Production Evidence: </w:t>
      </w:r>
      <w:r>
        <w:rPr>
          <w:rFonts w:ascii="Arial" w:cs="Arial" w:eastAsia="Arial" w:hAnsi="Arial"/>
          <w:sz w:val="22"/>
          <w:szCs w:val="22"/>
        </w:rPr>
        <w:t xml:space="preserve">UniCredit: handling credit card inquiries. Financial services is a key vertical, but named banking references beyond UniCredit are limited in public sources.</w:t>
      </w:r>
    </w:p>
    <w:p>
      <w:pPr>
        <w:spacing w:after="120"/>
      </w:pPr>
      <w:r>
        <w:rPr>
          <w:rFonts w:ascii="Arial" w:cs="Arial" w:eastAsia="Arial" w:hAnsi="Arial"/>
          <w:b/>
          <w:bCs/>
          <w:sz w:val="22"/>
          <w:szCs w:val="22"/>
        </w:rPr>
        <w:t xml:space="preserve">Data Sovereignty: </w:t>
      </w:r>
      <w:r>
        <w:rPr>
          <w:rFonts w:ascii="Arial" w:cs="Arial" w:eastAsia="Arial" w:hAnsi="Arial"/>
          <w:sz w:val="22"/>
          <w:szCs w:val="22"/>
        </w:rPr>
        <w:t xml:space="preserve">SOC 2 Type II, ISO 27001, GDPR, HIPAA compliant. On-premise or sovereign cloud offerings not confirmed.</w:t>
      </w:r>
    </w:p>
    <w:p>
      <w:pPr>
        <w:spacing w:after="120"/>
      </w:pPr>
      <w:r>
        <w:rPr>
          <w:rFonts w:ascii="Arial" w:cs="Arial" w:eastAsia="Arial" w:hAnsi="Arial"/>
          <w:b/>
          <w:bCs/>
          <w:sz w:val="22"/>
          <w:szCs w:val="22"/>
        </w:rPr>
        <w:t xml:space="preserve">Certifications: </w:t>
      </w:r>
      <w:r>
        <w:rPr>
          <w:rFonts w:ascii="Arial" w:cs="Arial" w:eastAsia="Arial" w:hAnsi="Arial"/>
          <w:sz w:val="22"/>
          <w:szCs w:val="22"/>
        </w:rPr>
        <w:t xml:space="preserve">SOC 2 Type II, ISO 27001, GDPR, HIPAA.</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Custom enterprise pricing, typically starting at six-figure annual contracts.</w:t>
      </w:r>
    </w:p>
    <w:p>
      <w:pPr>
        <w:spacing w:after="120"/>
      </w:pPr>
      <w:r>
        <w:rPr>
          <w:rFonts w:ascii="Arial" w:cs="Arial" w:eastAsia="Arial" w:hAnsi="Arial"/>
          <w:b/>
          <w:bCs/>
          <w:sz w:val="22"/>
          <w:szCs w:val="22"/>
        </w:rPr>
        <w:t xml:space="preserve">Partner Ecosystem: </w:t>
      </w:r>
      <w:r>
        <w:rPr>
          <w:rFonts w:ascii="Arial" w:cs="Arial" w:eastAsia="Arial" w:hAnsi="Arial"/>
          <w:sz w:val="22"/>
          <w:szCs w:val="22"/>
        </w:rPr>
        <w:t xml:space="preserve">British Business Bank invested GBP 15 million (December 2025). Partner ecosystem is less banking-specific.</w:t>
      </w:r>
    </w:p>
    <w:p>
      <w:pPr>
        <w:pStyle w:val="Heading2"/>
        <w:spacing w:after="160" w:before="240"/>
      </w:pPr>
      <w:r>
        <w:rPr>
          <w:rFonts w:ascii="Arial" w:cs="Arial" w:eastAsia="Arial" w:hAnsi="Arial"/>
          <w:b/>
          <w:bCs/>
          <w:sz w:val="22"/>
          <w:szCs w:val="22"/>
        </w:rPr>
        <w:t xml:space="preserve">6. Gryphon AI</w:t>
      </w:r>
    </w:p>
    <w:p>
      <w:pPr>
        <w:spacing w:after="120"/>
      </w:pPr>
      <w:r>
        <w:rPr>
          <w:rFonts w:ascii="Arial" w:cs="Arial" w:eastAsia="Arial" w:hAnsi="Arial"/>
          <w:b/>
          <w:bCs/>
          <w:sz w:val="22"/>
          <w:szCs w:val="22"/>
        </w:rPr>
        <w:t xml:space="preserve">Overview: </w:t>
      </w:r>
      <w:r>
        <w:rPr>
          <w:rFonts w:ascii="Arial" w:cs="Arial" w:eastAsia="Arial" w:hAnsi="Arial"/>
          <w:sz w:val="22"/>
          <w:szCs w:val="22"/>
        </w:rPr>
        <w:t xml:space="preserve">The most relevant pure governance player in this analysis. Their April 28, 2026 product launch positions them as a "unified GRC control layer" for contact governance, directly addressing the governance gap this research investigates.</w:t>
      </w:r>
    </w:p>
    <w:p>
      <w:pPr>
        <w:spacing w:after="120"/>
      </w:pPr>
      <w:r>
        <w:rPr>
          <w:rFonts w:ascii="Arial" w:cs="Arial" w:eastAsia="Arial" w:hAnsi="Arial"/>
          <w:b/>
          <w:bCs/>
          <w:sz w:val="22"/>
          <w:szCs w:val="22"/>
        </w:rPr>
        <w:t xml:space="preserve">Voice AI Capabilities: </w:t>
      </w:r>
      <w:r>
        <w:rPr>
          <w:rFonts w:ascii="Arial" w:cs="Arial" w:eastAsia="Arial" w:hAnsi="Arial"/>
          <w:sz w:val="22"/>
          <w:szCs w:val="22"/>
        </w:rPr>
        <w:t xml:space="preserve">Not a conversational voice AI platform. It is a compliance enforcement engine that sits on top of voice interactions, evaluating eligibility based on real-time consent, timing, and frequency.</w:t>
      </w:r>
    </w:p>
    <w:p>
      <w:pPr>
        <w:pStyle w:val="Heading3"/>
        <w:spacing w:after="160" w:before="240"/>
      </w:pPr>
      <w:r>
        <w:rPr>
          <w:rFonts w:ascii="Arial" w:cs="Arial" w:eastAsia="Arial" w:hAnsi="Arial"/>
          <w:b/>
          <w:bCs/>
          <w:sz w:val="22"/>
          <w:szCs w:val="22"/>
        </w:rPr>
        <w:t xml:space="preserve">Governance Capabilities</w:t>
      </w:r>
    </w:p>
    <w:p>
      <w:pPr>
        <w:pStyle w:val="ListParagraph"/>
        <w:numPr>
          <w:ilvl w:val="0"/>
          <w:numId w:val="2"/>
        </w:numPr>
        <w:spacing w:after="80"/>
      </w:pPr>
      <w:r>
        <w:rPr>
          <w:rFonts w:ascii="Arial" w:cs="Arial" w:eastAsia="Arial" w:hAnsi="Arial"/>
          <w:b/>
          <w:bCs/>
          <w:sz w:val="22"/>
          <w:szCs w:val="22"/>
        </w:rPr>
        <w:t xml:space="preserve">Real-time compliance enforcement: </w:t>
      </w:r>
      <w:r>
        <w:rPr>
          <w:rFonts w:ascii="Arial" w:cs="Arial" w:eastAsia="Arial" w:hAnsi="Arial"/>
          <w:sz w:val="22"/>
          <w:szCs w:val="22"/>
        </w:rPr>
        <w:t xml:space="preserve">Whether an interaction is driven by a live agent or a generative AI bot, the engine evaluates compliance in real time.</w:t>
      </w:r>
    </w:p>
    <w:p>
      <w:pPr>
        <w:pStyle w:val="ListParagraph"/>
        <w:numPr>
          <w:ilvl w:val="0"/>
          <w:numId w:val="2"/>
        </w:numPr>
        <w:spacing w:after="80"/>
      </w:pPr>
      <w:r>
        <w:rPr>
          <w:rFonts w:ascii="Arial" w:cs="Arial" w:eastAsia="Arial" w:hAnsi="Arial"/>
          <w:b/>
          <w:bCs/>
          <w:sz w:val="22"/>
          <w:szCs w:val="22"/>
        </w:rPr>
        <w:t xml:space="preserve">Omnichannel compliance: </w:t>
      </w:r>
      <w:r>
        <w:rPr>
          <w:rFonts w:ascii="Arial" w:cs="Arial" w:eastAsia="Arial" w:hAnsi="Arial"/>
          <w:sz w:val="22"/>
          <w:szCs w:val="22"/>
        </w:rPr>
        <w:t xml:space="preserve">Centralized decision engine orchestrating engagement across voice, SMS, email, agentic agents, and direct mail.</w:t>
      </w:r>
    </w:p>
    <w:p>
      <w:pPr>
        <w:pStyle w:val="ListParagraph"/>
        <w:numPr>
          <w:ilvl w:val="0"/>
          <w:numId w:val="2"/>
        </w:numPr>
        <w:spacing w:after="80"/>
      </w:pPr>
      <w:r>
        <w:rPr>
          <w:rFonts w:ascii="Arial" w:cs="Arial" w:eastAsia="Arial" w:hAnsi="Arial"/>
          <w:b/>
          <w:bCs/>
          <w:sz w:val="22"/>
          <w:szCs w:val="22"/>
        </w:rPr>
        <w:t xml:space="preserve">Regulatory intelligence: </w:t>
      </w:r>
      <w:r>
        <w:rPr>
          <w:rFonts w:ascii="Arial" w:cs="Arial" w:eastAsia="Arial" w:hAnsi="Arial"/>
          <w:sz w:val="22"/>
          <w:szCs w:val="22"/>
        </w:rPr>
        <w:t xml:space="preserve">TCPA, DNC, TSR, FDCPA, CFPB Reg F, FINRA, SEC, Reg Best Interest coverage.</w:t>
      </w:r>
    </w:p>
    <w:p>
      <w:pPr>
        <w:pStyle w:val="ListParagraph"/>
        <w:numPr>
          <w:ilvl w:val="0"/>
          <w:numId w:val="2"/>
        </w:numPr>
        <w:spacing w:after="80"/>
      </w:pPr>
      <w:r>
        <w:rPr>
          <w:rFonts w:ascii="Arial" w:cs="Arial" w:eastAsia="Arial" w:hAnsi="Arial"/>
          <w:b/>
          <w:bCs/>
          <w:sz w:val="22"/>
          <w:szCs w:val="22"/>
        </w:rPr>
        <w:t xml:space="preserve">Consent management: </w:t>
      </w:r>
      <w:r>
        <w:rPr>
          <w:rFonts w:ascii="Arial" w:cs="Arial" w:eastAsia="Arial" w:hAnsi="Arial"/>
          <w:sz w:val="22"/>
          <w:szCs w:val="22"/>
        </w:rPr>
        <w:t xml:space="preserve">AI-powered consent tracking, verification, and application across all channels and jurisdictions.</w:t>
      </w:r>
    </w:p>
    <w:p>
      <w:pPr>
        <w:spacing w:after="120"/>
      </w:pPr>
      <w:r>
        <w:rPr>
          <w:rFonts w:ascii="Arial" w:cs="Arial" w:eastAsia="Arial" w:hAnsi="Arial"/>
          <w:b/>
          <w:bCs/>
          <w:sz w:val="22"/>
          <w:szCs w:val="22"/>
        </w:rPr>
        <w:t xml:space="preserve">Banking Production Evidence: </w:t>
      </w:r>
      <w:r>
        <w:rPr>
          <w:rFonts w:ascii="Arial" w:cs="Arial" w:eastAsia="Arial" w:hAnsi="Arial"/>
          <w:sz w:val="22"/>
          <w:szCs w:val="22"/>
        </w:rPr>
        <w:t xml:space="preserve">Serves "some of the world's largest financial services institutions" handling "billions of annual interactions." Specific named banking customers not found in public sources.</w:t>
      </w:r>
    </w:p>
    <w:p>
      <w:pPr>
        <w:spacing w:after="120"/>
      </w:pPr>
      <w:r>
        <w:rPr>
          <w:rFonts w:ascii="Arial" w:cs="Arial" w:eastAsia="Arial" w:hAnsi="Arial"/>
          <w:b/>
          <w:bCs/>
          <w:sz w:val="22"/>
          <w:szCs w:val="22"/>
        </w:rPr>
        <w:t xml:space="preserve">Data Sovereignty: </w:t>
      </w:r>
      <w:r>
        <w:rPr>
          <w:rFonts w:ascii="Arial" w:cs="Arial" w:eastAsia="Arial" w:hAnsi="Arial"/>
          <w:sz w:val="22"/>
          <w:szCs w:val="22"/>
        </w:rPr>
        <w:t xml:space="preserve">Not specifically addressed in public documentation.</w:t>
      </w:r>
    </w:p>
    <w:p>
      <w:pPr>
        <w:spacing w:after="120"/>
      </w:pPr>
      <w:r>
        <w:rPr>
          <w:rFonts w:ascii="Arial" w:cs="Arial" w:eastAsia="Arial" w:hAnsi="Arial"/>
          <w:b/>
          <w:bCs/>
          <w:sz w:val="22"/>
          <w:szCs w:val="22"/>
        </w:rPr>
        <w:t xml:space="preserve">Certifications: </w:t>
      </w:r>
      <w:r>
        <w:rPr>
          <w:rFonts w:ascii="Arial" w:cs="Arial" w:eastAsia="Arial" w:hAnsi="Arial"/>
          <w:sz w:val="22"/>
          <w:szCs w:val="22"/>
        </w:rPr>
        <w:t xml:space="preserve">Not detailed in public sources.</w:t>
      </w:r>
    </w:p>
    <w:p>
      <w:pPr>
        <w:spacing w:after="120"/>
      </w:pPr>
      <w:r>
        <w:rPr>
          <w:rFonts w:ascii="Arial" w:cs="Arial" w:eastAsia="Arial" w:hAnsi="Arial"/>
          <w:b/>
          <w:bCs/>
          <w:sz w:val="22"/>
          <w:szCs w:val="22"/>
        </w:rPr>
        <w:t xml:space="preserve">Pricing: </w:t>
      </w:r>
      <w:r>
        <w:rPr>
          <w:rFonts w:ascii="Arial" w:cs="Arial" w:eastAsia="Arial" w:hAnsi="Arial"/>
          <w:sz w:val="22"/>
          <w:szCs w:val="22"/>
        </w:rPr>
        <w:t xml:space="preserve">Enterprise pricing; not publicly disclosed.</w:t>
      </w:r>
    </w:p>
    <w:p>
      <w:pPr>
        <w:spacing w:after="120"/>
      </w:pPr>
      <w:r>
        <w:rPr>
          <w:rFonts w:ascii="Arial" w:cs="Arial" w:eastAsia="Arial" w:hAnsi="Arial"/>
          <w:b/>
          <w:bCs/>
          <w:sz w:val="22"/>
          <w:szCs w:val="22"/>
        </w:rPr>
        <w:t xml:space="preserve">Partner Ecosystem: </w:t>
      </w:r>
      <w:r>
        <w:rPr>
          <w:rFonts w:ascii="Arial" w:cs="Arial" w:eastAsia="Arial" w:hAnsi="Arial"/>
          <w:sz w:val="22"/>
          <w:szCs w:val="22"/>
        </w:rPr>
        <w:t xml:space="preserve">Integrations with NICE CXone, Genesys, CRM platforms, and loan-servicing systems.</w:t>
      </w:r>
    </w:p>
    <w:p>
      <w:r>
        <w:br w:type="page"/>
      </w:r>
    </w:p>
    <w:p>
      <w:pPr>
        <w:pStyle w:val="Heading2"/>
        <w:spacing w:after="160" w:before="240"/>
      </w:pPr>
      <w:r>
        <w:rPr>
          <w:rFonts w:ascii="Arial" w:cs="Arial" w:eastAsia="Arial" w:hAnsi="Arial"/>
          <w:b/>
          <w:bCs/>
          <w:sz w:val="22"/>
          <w:szCs w:val="22"/>
        </w:rPr>
        <w:t xml:space="preserve">7. Verint Financial Compliance</w:t>
      </w:r>
    </w:p>
    <w:p>
      <w:pPr>
        <w:spacing w:after="120"/>
      </w:pPr>
      <w:r>
        <w:rPr>
          <w:rFonts w:ascii="Arial" w:cs="Arial" w:eastAsia="Arial" w:hAnsi="Arial"/>
          <w:b/>
          <w:bCs/>
          <w:sz w:val="22"/>
          <w:szCs w:val="22"/>
        </w:rPr>
        <w:t xml:space="preserve">Overview: </w:t>
      </w:r>
      <w:r>
        <w:rPr>
          <w:rFonts w:ascii="Arial" w:cs="Arial" w:eastAsia="Arial" w:hAnsi="Arial"/>
          <w:sz w:val="22"/>
          <w:szCs w:val="22"/>
        </w:rPr>
        <w:t xml:space="preserve">Dominant player in compliance recording and communication surveillance for financial services. 800+ financial services customers including Tier-1 banks and investment firms.</w:t>
      </w:r>
    </w:p>
    <w:p>
      <w:pPr>
        <w:spacing w:after="120"/>
      </w:pPr>
      <w:r>
        <w:rPr>
          <w:rFonts w:ascii="Arial" w:cs="Arial" w:eastAsia="Arial" w:hAnsi="Arial"/>
          <w:b/>
          <w:bCs/>
          <w:sz w:val="22"/>
          <w:szCs w:val="22"/>
        </w:rPr>
        <w:t xml:space="preserve">Voice AI Capabilities: </w:t>
      </w:r>
      <w:r>
        <w:rPr>
          <w:rFonts w:ascii="Arial" w:cs="Arial" w:eastAsia="Arial" w:hAnsi="Arial"/>
          <w:sz w:val="22"/>
          <w:szCs w:val="22"/>
        </w:rPr>
        <w:t xml:space="preserve">Not a conversational voice AI platform. Captures, transcribes, analyzes, and archives voice interactions. AI-powered speech transcription pre-trained for financial markets. Voice biometrics, sentiment analysis, behavior analysis.</w:t>
      </w:r>
    </w:p>
    <w:p>
      <w:pPr>
        <w:pStyle w:val="Heading3"/>
        <w:spacing w:after="160" w:before="240"/>
      </w:pPr>
      <w:r>
        <w:rPr>
          <w:rFonts w:ascii="Arial" w:cs="Arial" w:eastAsia="Arial" w:hAnsi="Arial"/>
          <w:b/>
          <w:bCs/>
          <w:sz w:val="22"/>
          <w:szCs w:val="22"/>
        </w:rPr>
        <w:t xml:space="preserve">Governance Capabilities</w:t>
      </w:r>
    </w:p>
    <w:p>
      <w:pPr>
        <w:pStyle w:val="ListParagraph"/>
        <w:numPr>
          <w:ilvl w:val="0"/>
          <w:numId w:val="2"/>
        </w:numPr>
        <w:spacing w:after="80"/>
      </w:pPr>
      <w:r>
        <w:rPr>
          <w:rFonts w:ascii="Arial" w:cs="Arial" w:eastAsia="Arial" w:hAnsi="Arial"/>
          <w:b/>
          <w:bCs/>
          <w:sz w:val="22"/>
          <w:szCs w:val="22"/>
        </w:rPr>
        <w:t xml:space="preserve">Compliance recording: </w:t>
      </w:r>
      <w:r>
        <w:rPr>
          <w:rFonts w:ascii="Arial" w:cs="Arial" w:eastAsia="Arial" w:hAnsi="Arial"/>
          <w:sz w:val="22"/>
          <w:szCs w:val="22"/>
        </w:rPr>
        <w:t xml:space="preserve">Multi-channel, multi-modal communication capture across traditional and modern platforms.</w:t>
      </w:r>
    </w:p>
    <w:p>
      <w:pPr>
        <w:pStyle w:val="ListParagraph"/>
        <w:numPr>
          <w:ilvl w:val="0"/>
          <w:numId w:val="2"/>
        </w:numPr>
        <w:spacing w:after="80"/>
      </w:pPr>
      <w:r>
        <w:rPr>
          <w:rFonts w:ascii="Arial" w:cs="Arial" w:eastAsia="Arial" w:hAnsi="Arial"/>
          <w:b/>
          <w:bCs/>
          <w:sz w:val="22"/>
          <w:szCs w:val="22"/>
        </w:rPr>
        <w:t xml:space="preserve">AI-powered surveillance: </w:t>
      </w:r>
      <w:r>
        <w:rPr>
          <w:rFonts w:ascii="Arial" w:cs="Arial" w:eastAsia="Arial" w:hAnsi="Arial"/>
          <w:sz w:val="22"/>
          <w:szCs w:val="22"/>
        </w:rPr>
        <w:t xml:space="preserve">Financial compliance profiling with speech-to-text, voice analytics, and AI-enhanced insights.</w:t>
      </w:r>
    </w:p>
    <w:p>
      <w:pPr>
        <w:pStyle w:val="ListParagraph"/>
        <w:numPr>
          <w:ilvl w:val="0"/>
          <w:numId w:val="2"/>
        </w:numPr>
        <w:spacing w:after="80"/>
      </w:pPr>
      <w:r>
        <w:rPr>
          <w:rFonts w:ascii="Arial" w:cs="Arial" w:eastAsia="Arial" w:hAnsi="Arial"/>
          <w:b/>
          <w:bCs/>
          <w:sz w:val="22"/>
          <w:szCs w:val="22"/>
        </w:rPr>
        <w:t xml:space="preserve">Regulatory coverage: </w:t>
      </w:r>
      <w:r>
        <w:rPr>
          <w:rFonts w:ascii="Arial" w:cs="Arial" w:eastAsia="Arial" w:hAnsi="Arial"/>
          <w:sz w:val="22"/>
          <w:szCs w:val="22"/>
        </w:rPr>
        <w:t xml:space="preserve">MiFID II, Dodd-Frank, MAS, ASIC, MAR/MAD II, SEC 17a-4, SOX, PCI DSS, HIPAA, GDPR.</w:t>
      </w:r>
    </w:p>
    <w:p>
      <w:pPr>
        <w:spacing w:after="120"/>
      </w:pPr>
      <w:r>
        <w:rPr>
          <w:rFonts w:ascii="Arial" w:cs="Arial" w:eastAsia="Arial" w:hAnsi="Arial"/>
          <w:b/>
          <w:bCs/>
          <w:sz w:val="22"/>
          <w:szCs w:val="22"/>
        </w:rPr>
        <w:t xml:space="preserve">Banking Production Evidence: </w:t>
      </w:r>
      <w:r>
        <w:rPr>
          <w:rFonts w:ascii="Arial" w:cs="Arial" w:eastAsia="Arial" w:hAnsi="Arial"/>
          <w:sz w:val="22"/>
          <w:szCs w:val="22"/>
        </w:rPr>
        <w:t xml:space="preserve">800+ financial services organizations. Microsoft Teams compliance recording certified by Microsoft.</w:t>
      </w:r>
    </w:p>
    <w:p>
      <w:pPr>
        <w:spacing w:after="120"/>
      </w:pPr>
      <w:r>
        <w:rPr>
          <w:rFonts w:ascii="Arial" w:cs="Arial" w:eastAsia="Arial" w:hAnsi="Arial"/>
          <w:b/>
          <w:bCs/>
          <w:sz w:val="22"/>
          <w:szCs w:val="22"/>
        </w:rPr>
        <w:t xml:space="preserve">Data Sovereignty: </w:t>
      </w:r>
      <w:r>
        <w:rPr>
          <w:rFonts w:ascii="Arial" w:cs="Arial" w:eastAsia="Arial" w:hAnsi="Arial"/>
          <w:sz w:val="22"/>
          <w:szCs w:val="22"/>
        </w:rPr>
        <w:t xml:space="preserve">Enterprise deployment across regions. MAS (Singapore) and ASIC (Australia) compliance suggests APAC capability.</w:t>
      </w:r>
    </w:p>
    <w:p>
      <w:pPr>
        <w:spacing w:after="120"/>
      </w:pPr>
      <w:r>
        <w:rPr>
          <w:rFonts w:ascii="Arial" w:cs="Arial" w:eastAsia="Arial" w:hAnsi="Arial"/>
          <w:b/>
          <w:bCs/>
          <w:sz w:val="22"/>
          <w:szCs w:val="22"/>
        </w:rPr>
        <w:t xml:space="preserve">Certifications: </w:t>
      </w:r>
      <w:r>
        <w:rPr>
          <w:rFonts w:ascii="Arial" w:cs="Arial" w:eastAsia="Arial" w:hAnsi="Arial"/>
          <w:sz w:val="22"/>
          <w:szCs w:val="22"/>
        </w:rPr>
        <w:t xml:space="preserve">PCI DSS, HIPAA, Dodd-Frank, GDPR, MiFID II, SEC 17a-4, SOX compliant.</w:t>
      </w:r>
    </w:p>
    <w:p>
      <w:pPr>
        <w:pStyle w:val="Heading2"/>
        <w:spacing w:after="160" w:before="240"/>
      </w:pPr>
      <w:r>
        <w:rPr>
          <w:rFonts w:ascii="Arial" w:cs="Arial" w:eastAsia="Arial" w:hAnsi="Arial"/>
          <w:b/>
          <w:bCs/>
          <w:sz w:val="22"/>
          <w:szCs w:val="22"/>
        </w:rPr>
        <w:t xml:space="preserve">Cloud Hyperscaler Offerings</w:t>
      </w:r>
    </w:p>
    <w:p>
      <w:pPr>
        <w:spacing w:after="120"/>
      </w:pPr>
      <w:r>
        <w:rPr>
          <w:rFonts w:ascii="Arial" w:cs="Arial" w:eastAsia="Arial" w:hAnsi="Arial"/>
          <w:b/>
          <w:bCs/>
          <w:sz w:val="22"/>
          <w:szCs w:val="22"/>
        </w:rPr>
        <w:t xml:space="preserve">AWS (Amazon Connect): </w:t>
      </w:r>
      <w:r>
        <w:rPr>
          <w:rFonts w:ascii="Arial" w:cs="Arial" w:eastAsia="Arial" w:hAnsi="Arial"/>
          <w:sz w:val="22"/>
          <w:szCs w:val="22"/>
        </w:rPr>
        <w:t xml:space="preserve">AI agents for authentication, loan status, claims, account servicing. Published dedicated FSI AI GRC guide. Nationwide Building Society (17M members) as named customer. Comprehensive certifications including FedRAMP High, MTCS Level 3 (Singapore), IRAP (Australia). Pay-per-use pricing. 30+ regions plus GovCloud and Outposts for on-prem.</w:t>
      </w:r>
    </w:p>
    <w:p>
      <w:pPr>
        <w:spacing w:after="120"/>
      </w:pPr>
      <w:r>
        <w:rPr>
          <w:rFonts w:ascii="Arial" w:cs="Arial" w:eastAsia="Arial" w:hAnsi="Arial"/>
          <w:b/>
          <w:bCs/>
          <w:sz w:val="22"/>
          <w:szCs w:val="22"/>
        </w:rPr>
        <w:t xml:space="preserve">Microsoft (Azure AI + Nuance): </w:t>
      </w:r>
      <w:r>
        <w:rPr>
          <w:rFonts w:ascii="Arial" w:cs="Arial" w:eastAsia="Arial" w:hAnsi="Arial"/>
          <w:sz w:val="22"/>
          <w:szCs w:val="22"/>
        </w:rPr>
        <w:t xml:space="preserve">$19B Nuance acquisition brought dominant IVR customer base in banking. Nuance on-prem EOL forcing cloud migration (hosted ended Dec 2025, on-prem sustaining ~June 2026). FSI Landing Zone, Purview governance, Responsible AI Standard. 60+ regions, Government clouds, EU Data Boundary. 90+ certifications.</w:t>
      </w:r>
    </w:p>
    <w:p>
      <w:pPr>
        <w:spacing w:after="120"/>
      </w:pPr>
      <w:r>
        <w:rPr>
          <w:rFonts w:ascii="Arial" w:cs="Arial" w:eastAsia="Arial" w:hAnsi="Arial"/>
          <w:b/>
          <w:bCs/>
          <w:sz w:val="22"/>
          <w:szCs w:val="22"/>
        </w:rPr>
        <w:t xml:space="preserve">Google Cloud (CCAI): </w:t>
      </w:r>
      <w:r>
        <w:rPr>
          <w:rFonts w:ascii="Arial" w:cs="Arial" w:eastAsia="Arial" w:hAnsi="Arial"/>
          <w:sz w:val="22"/>
          <w:szCs w:val="22"/>
        </w:rPr>
        <w:t xml:space="preserve">Virtual agents for banking, Vertex AI with governance controls. Definity (Canadian FS) case study showing 40% AHT reduction. Sovereign Cloud and Distributed Cloud for on-prem. Fewer named banking references than AWS or Microsoft.</w:t>
      </w:r>
    </w:p>
    <w:p>
      <w:r>
        <w:br w:type="page"/>
      </w:r>
    </w:p>
    <w:p>
      <w:pPr>
        <w:pStyle w:val="Heading2"/>
        <w:spacing w:after="160" w:before="240"/>
      </w:pPr>
      <w:r>
        <w:rPr>
          <w:rFonts w:ascii="Arial" w:cs="Arial" w:eastAsia="Arial" w:hAnsi="Arial"/>
          <w:b/>
          <w:bCs/>
          <w:sz w:val="22"/>
          <w:szCs w:val="22"/>
        </w:rPr>
        <w:t xml:space="preserve">Open Source: Rasa</w:t>
      </w:r>
    </w:p>
    <w:p>
      <w:pPr>
        <w:spacing w:after="120"/>
      </w:pPr>
      <w:r>
        <w:rPr>
          <w:rFonts w:ascii="Arial" w:cs="Arial" w:eastAsia="Arial" w:hAnsi="Arial"/>
          <w:sz w:val="22"/>
          <w:szCs w:val="22"/>
        </w:rPr>
        <w:t xml:space="preserve">Leading open-source conversational AI framework with CALM framework and Rasa Pro enterprise offering. Supports voice as a channel but requires telephony integration. Deterministic business logic prevents hallucinations. Full on-premise deployment with zero vendor data leakage. N26 as named banking customer. Strongest data sovereignty story in this analysis. Free core framework; Rasa Pro custom priced.</w:t>
      </w:r>
    </w:p>
    <w:p>
      <w:pPr>
        <w:pStyle w:val="Heading2"/>
        <w:spacing w:after="160" w:before="240"/>
      </w:pPr>
      <w:r>
        <w:rPr>
          <w:rFonts w:ascii="Arial" w:cs="Arial" w:eastAsia="Arial" w:hAnsi="Arial"/>
          <w:b/>
          <w:bCs/>
          <w:sz w:val="22"/>
          <w:szCs w:val="22"/>
        </w:rPr>
        <w:t xml:space="preserve">Emerging Players</w:t>
      </w:r>
    </w:p>
    <w:p>
      <w:pPr>
        <w:spacing w:after="120"/>
      </w:pPr>
      <w:r>
        <w:rPr>
          <w:rFonts w:ascii="Arial" w:cs="Arial" w:eastAsia="Arial" w:hAnsi="Arial"/>
          <w:b/>
          <w:bCs/>
          <w:sz w:val="22"/>
          <w:szCs w:val="22"/>
        </w:rPr>
        <w:t xml:space="preserve">AviaryAI </w:t>
      </w:r>
      <w:r>
        <w:rPr>
          <w:rFonts w:ascii="Arial" w:cs="Arial" w:eastAsia="Arial" w:hAnsi="Arial"/>
          <w:sz w:val="22"/>
          <w:szCs w:val="22"/>
        </w:rPr>
        <w:t xml:space="preserve">(Chicago, YC): Outbound voice agents for banks/credit unions. TCPA-compliant, private LLMs. BCU deployment with 52% success rate. 10 employees, founded 2022.</w:t>
      </w:r>
    </w:p>
    <w:p>
      <w:pPr>
        <w:spacing w:after="120"/>
      </w:pPr>
      <w:r>
        <w:rPr>
          <w:rFonts w:ascii="Arial" w:cs="Arial" w:eastAsia="Arial" w:hAnsi="Arial"/>
          <w:b/>
          <w:bCs/>
          <w:sz w:val="22"/>
          <w:szCs w:val="22"/>
        </w:rPr>
        <w:t xml:space="preserve">VOICERAcx: </w:t>
      </w:r>
      <w:r>
        <w:rPr>
          <w:rFonts w:ascii="Arial" w:cs="Arial" w:eastAsia="Arial" w:hAnsi="Arial"/>
          <w:sz w:val="22"/>
          <w:szCs w:val="22"/>
        </w:rPr>
        <w:t xml:space="preserve">Sovereign AI voice agent platform with on-prem deployment, audit trails, RBAC. Built with MCP for interoperability. Targets BFSI. Very limited production evidence.</w:t>
      </w:r>
    </w:p>
    <w:p>
      <w:pPr>
        <w:spacing w:after="120"/>
      </w:pPr>
      <w:r>
        <w:rPr>
          <w:rFonts w:ascii="Arial" w:cs="Arial" w:eastAsia="Arial" w:hAnsi="Arial"/>
          <w:b/>
          <w:bCs/>
          <w:sz w:val="22"/>
          <w:szCs w:val="22"/>
        </w:rPr>
        <w:t xml:space="preserve">Telnyx: </w:t>
      </w:r>
      <w:r>
        <w:rPr>
          <w:rFonts w:ascii="Arial" w:cs="Arial" w:eastAsia="Arial" w:hAnsi="Arial"/>
          <w:sz w:val="22"/>
          <w:szCs w:val="22"/>
        </w:rPr>
        <w:t xml:space="preserve">Owns full voice AI stack from telephony to GPU infrastructure. Paris GPU PoPs for GDPR. Voice biometrics, encrypted telephony, real-time redaction.</w:t>
      </w:r>
    </w:p>
    <w:p>
      <w:pPr>
        <w:spacing w:after="120"/>
      </w:pPr>
      <w:r>
        <w:rPr>
          <w:rFonts w:ascii="Arial" w:cs="Arial" w:eastAsia="Arial" w:hAnsi="Arial"/>
          <w:b/>
          <w:bCs/>
          <w:sz w:val="22"/>
          <w:szCs w:val="22"/>
        </w:rPr>
        <w:t xml:space="preserve">Retell AI: </w:t>
      </w:r>
      <w:r>
        <w:rPr>
          <w:rFonts w:ascii="Arial" w:cs="Arial" w:eastAsia="Arial" w:hAnsi="Arial"/>
          <w:sz w:val="22"/>
          <w:szCs w:val="22"/>
        </w:rPr>
        <w:t xml:space="preserve">SOC 2 Type II, HIPAA, PCI DSS, GDPR. On-premise SIP trunk support. BYOC capability. Strong for custom solutions but requires governance integration work.</w:t>
      </w:r>
    </w:p>
    <w:p>
      <w:pPr>
        <w:spacing w:after="120"/>
      </w:pPr>
      <w:r>
        <w:rPr>
          <w:rFonts w:ascii="Arial" w:cs="Arial" w:eastAsia="Arial" w:hAnsi="Arial"/>
          <w:b/>
          <w:bCs/>
          <w:sz w:val="22"/>
          <w:szCs w:val="22"/>
        </w:rPr>
        <w:t xml:space="preserve">Bland.ai: </w:t>
      </w:r>
      <w:r>
        <w:rPr>
          <w:rFonts w:ascii="Arial" w:cs="Arial" w:eastAsia="Arial" w:hAnsi="Arial"/>
          <w:sz w:val="22"/>
          <w:szCs w:val="22"/>
        </w:rPr>
        <w:t xml:space="preserve">SOC 2 Type II, GDPR, HIPAA-ready. Self-hosting option. Conversational pathways for deterministic control (locked-down account disclosure scripts).</w:t>
      </w:r>
    </w:p>
    <w:p>
      <w:r>
        <w:br w:type="page"/>
      </w:r>
    </w:p>
    <w:p>
      <w:pPr>
        <w:pStyle w:val="Heading1"/>
        <w:spacing w:after="160" w:before="360"/>
      </w:pPr>
      <w:r>
        <w:rPr>
          <w:rFonts w:ascii="Arial" w:cs="Arial" w:eastAsia="Arial" w:hAnsi="Arial"/>
          <w:b/>
          <w:bCs/>
          <w:sz w:val="22"/>
          <w:szCs w:val="22"/>
        </w:rPr>
        <w:t xml:space="preserve">Scoring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9"/>
        <w:gridCol w:w="1109"/>
        <w:gridCol w:w="1109"/>
        <w:gridCol w:w="1109"/>
        <w:gridCol w:w="1109"/>
        <w:gridCol w:w="1109"/>
        <w:gridCol w:w="1106"/>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Vendor</w:t>
            </w:r>
          </w:p>
        </w:tc>
        <w:tc>
          <w:tcPr>
            <w:tcW w:type="dxa" w:w="110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Voice</w:t>
            </w:r>
          </w:p>
        </w:tc>
        <w:tc>
          <w:tcPr>
            <w:tcW w:type="dxa" w:w="110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Gov.</w:t>
            </w:r>
          </w:p>
        </w:tc>
        <w:tc>
          <w:tcPr>
            <w:tcW w:type="dxa" w:w="110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Banking</w:t>
            </w:r>
          </w:p>
        </w:tc>
        <w:tc>
          <w:tcPr>
            <w:tcW w:type="dxa" w:w="110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Sov.</w:t>
            </w:r>
          </w:p>
        </w:tc>
        <w:tc>
          <w:tcPr>
            <w:tcW w:type="dxa" w:w="110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Evidence</w:t>
            </w:r>
          </w:p>
        </w:tc>
        <w:tc>
          <w:tcPr>
            <w:tcW w:type="dxa" w:w="1109"/>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Certs</w:t>
            </w:r>
          </w:p>
        </w:tc>
        <w:tc>
          <w:tcPr>
            <w:tcW w:type="dxa" w:w="11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120"/>
            </w:pPr>
            <w:r>
              <w:rPr>
                <w:rFonts w:ascii="Arial" w:cs="Arial" w:eastAsia="Arial" w:hAnsi="Arial"/>
                <w:b/>
                <w:bCs/>
                <w:color w:val="FFFFFF"/>
                <w:sz w:val="18"/>
                <w:szCs w:val="18"/>
              </w:rPr>
              <w:t xml:space="preserve">Total</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NICE + Cognigy</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28</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Kasisto</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26</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Genesys Cloud</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29</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Kore.ai</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24</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PolyAI</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21</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Gryphon AI</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1</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17</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Verint</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27</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AWS (Connect)</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28</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Microsoft</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28</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Google (CCAI)</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24</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Rasa</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5</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18</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Retell AI</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1</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18</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Bland.ai</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1</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17</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AviaryAI</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1</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1</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14</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Telnyx</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18</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VOICERAcx</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3</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2</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4</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1</w:t>
            </w:r>
          </w:p>
        </w:tc>
        <w:tc>
          <w:tcPr>
            <w:tcW w:type="dxa" w:w="110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val="false"/>
                <w:bCs w:val="false"/>
                <w:i w:val="false"/>
                <w:iCs w:val="false"/>
                <w:sz w:val="18"/>
                <w:szCs w:val="18"/>
              </w:rPr>
              <w:t xml:space="preserve">1</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120"/>
            </w:pPr>
            <w:r>
              <w:rPr>
                <w:rFonts w:ascii="Arial" w:cs="Arial" w:eastAsia="Arial" w:hAnsi="Arial"/>
                <w:b/>
                <w:bCs/>
                <w:i w:val="false"/>
                <w:iCs w:val="false"/>
                <w:sz w:val="18"/>
                <w:szCs w:val="18"/>
              </w:rPr>
              <w:t xml:space="preserve">16</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120"/>
            </w:pPr>
            <w:r>
              <w:rPr>
                <w:rFonts w:ascii="Arial" w:cs="Arial" w:eastAsia="Arial" w:hAnsi="Arial"/>
                <w:b/>
                <w:bCs/>
                <w:i/>
                <w:iCs/>
                <w:sz w:val="18"/>
                <w:szCs w:val="18"/>
              </w:rPr>
              <w:t xml:space="preserve">VocalIQ (Proposed)</w:t>
            </w:r>
          </w:p>
        </w:tc>
        <w:tc>
          <w:tcPr>
            <w:tcW w:type="dxa" w:w="1109"/>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120"/>
            </w:pPr>
            <w:r>
              <w:rPr>
                <w:rFonts w:ascii="Arial" w:cs="Arial" w:eastAsia="Arial" w:hAnsi="Arial"/>
                <w:b/>
                <w:bCs/>
                <w:i/>
                <w:iCs/>
                <w:sz w:val="18"/>
                <w:szCs w:val="18"/>
              </w:rPr>
              <w:t xml:space="preserve">4</w:t>
            </w:r>
          </w:p>
        </w:tc>
        <w:tc>
          <w:tcPr>
            <w:tcW w:type="dxa" w:w="1109"/>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120"/>
            </w:pPr>
            <w:r>
              <w:rPr>
                <w:rFonts w:ascii="Arial" w:cs="Arial" w:eastAsia="Arial" w:hAnsi="Arial"/>
                <w:b/>
                <w:bCs/>
                <w:i/>
                <w:iCs/>
                <w:sz w:val="18"/>
                <w:szCs w:val="18"/>
              </w:rPr>
              <w:t xml:space="preserve">5</w:t>
            </w:r>
          </w:p>
        </w:tc>
        <w:tc>
          <w:tcPr>
            <w:tcW w:type="dxa" w:w="1109"/>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120"/>
            </w:pPr>
            <w:r>
              <w:rPr>
                <w:rFonts w:ascii="Arial" w:cs="Arial" w:eastAsia="Arial" w:hAnsi="Arial"/>
                <w:b/>
                <w:bCs/>
                <w:i/>
                <w:iCs/>
                <w:sz w:val="18"/>
                <w:szCs w:val="18"/>
              </w:rPr>
              <w:t xml:space="preserve">4</w:t>
            </w:r>
          </w:p>
        </w:tc>
        <w:tc>
          <w:tcPr>
            <w:tcW w:type="dxa" w:w="1109"/>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120"/>
            </w:pPr>
            <w:r>
              <w:rPr>
                <w:rFonts w:ascii="Arial" w:cs="Arial" w:eastAsia="Arial" w:hAnsi="Arial"/>
                <w:b/>
                <w:bCs/>
                <w:i/>
                <w:iCs/>
                <w:sz w:val="18"/>
                <w:szCs w:val="18"/>
              </w:rPr>
              <w:t xml:space="preserve">4</w:t>
            </w:r>
          </w:p>
        </w:tc>
        <w:tc>
          <w:tcPr>
            <w:tcW w:type="dxa" w:w="1109"/>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120"/>
            </w:pPr>
            <w:r>
              <w:rPr>
                <w:rFonts w:ascii="Arial" w:cs="Arial" w:eastAsia="Arial" w:hAnsi="Arial"/>
                <w:b/>
                <w:bCs/>
                <w:i/>
                <w:iCs/>
                <w:sz w:val="18"/>
                <w:szCs w:val="18"/>
              </w:rPr>
              <w:t xml:space="preserve">1</w:t>
            </w:r>
          </w:p>
        </w:tc>
        <w:tc>
          <w:tcPr>
            <w:tcW w:type="dxa" w:w="1109"/>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120"/>
            </w:pPr>
            <w:r>
              <w:rPr>
                <w:rFonts w:ascii="Arial" w:cs="Arial" w:eastAsia="Arial" w:hAnsi="Arial"/>
                <w:b/>
                <w:bCs/>
                <w:i/>
                <w:iCs/>
                <w:sz w:val="18"/>
                <w:szCs w:val="18"/>
              </w:rPr>
              <w:t xml:space="preserve">1</w:t>
            </w:r>
          </w:p>
        </w:tc>
        <w:tc>
          <w:tcPr>
            <w:tcW w:type="dxa" w:w="1106"/>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spacing w:after="120"/>
            </w:pPr>
            <w:r>
              <w:rPr>
                <w:rFonts w:ascii="Arial" w:cs="Arial" w:eastAsia="Arial" w:hAnsi="Arial"/>
                <w:b/>
                <w:bCs/>
                <w:i/>
                <w:iCs/>
                <w:sz w:val="18"/>
                <w:szCs w:val="18"/>
              </w:rPr>
              <w:t xml:space="preserve">20</w:t>
            </w:r>
          </w:p>
        </w:tc>
      </w:tr>
    </w:tbl>
    <w:p>
      <w:pPr>
        <w:spacing w:after="80"/>
      </w:pPr>
    </w:p>
    <w:p>
      <w:pPr>
        <w:spacing w:after="120"/>
      </w:pPr>
      <w:r>
        <w:rPr>
          <w:rFonts w:ascii="Arial" w:cs="Arial" w:eastAsia="Arial" w:hAnsi="Arial"/>
          <w:b/>
          <w:bCs/>
          <w:sz w:val="22"/>
          <w:szCs w:val="22"/>
        </w:rPr>
        <w:t xml:space="preserve">Reading the matrix: </w:t>
      </w:r>
      <w:r>
        <w:rPr>
          <w:rFonts w:ascii="Arial" w:cs="Arial" w:eastAsia="Arial" w:hAnsi="Arial"/>
          <w:sz w:val="22"/>
          <w:szCs w:val="22"/>
        </w:rPr>
        <w:t xml:space="preserve">VocalIQ's proposed capabilities score well on governance depth and banking domain, its intended differentiators. But the gap between "proposed" and "production-proven" is the entire risk surface. Genesys and NICE+Cognigy already score 28-29 with production evidence and certifications that VocalIQ would need 2-3 years to match.</w:t>
      </w:r>
    </w:p>
    <w:p>
      <w:r>
        <w:br w:type="page"/>
      </w:r>
    </w:p>
    <w:p>
      <w:pPr>
        <w:pStyle w:val="Heading1"/>
        <w:spacing w:after="160" w:before="360"/>
      </w:pPr>
      <w:r>
        <w:rPr>
          <w:rFonts w:ascii="Arial" w:cs="Arial" w:eastAsia="Arial" w:hAnsi="Arial"/>
          <w:b/>
          <w:bCs/>
          <w:sz w:val="22"/>
          <w:szCs w:val="22"/>
        </w:rPr>
        <w:t xml:space="preserve">Data Sovereignty Analysis</w:t>
      </w:r>
    </w:p>
    <w:p>
      <w:pPr>
        <w:spacing w:after="120"/>
      </w:pPr>
      <w:r>
        <w:rPr>
          <w:rFonts w:ascii="Arial" w:cs="Arial" w:eastAsia="Arial" w:hAnsi="Arial"/>
          <w:sz w:val="22"/>
          <w:szCs w:val="22"/>
        </w:rPr>
        <w:t xml:space="preserve">Data sovereignty is a non-negotiable requirement for many banking jurisdictions, particularly in APAC (MAS TRM in Singapore, APRA in Australia), the Middle East (CBUAE, SAMA), and increasingly in the EU (DORA, GDPR, national implementations).</w:t>
      </w:r>
    </w:p>
    <w:p>
      <w:pPr>
        <w:spacing w:after="80"/>
      </w:pPr>
    </w:p>
    <w:p>
      <w:pPr>
        <w:spacing w:after="120"/>
      </w:pPr>
      <w:r>
        <w:rPr>
          <w:rFonts w:ascii="Arial" w:cs="Arial" w:eastAsia="Arial" w:hAnsi="Arial"/>
          <w:b/>
          <w:bCs/>
          <w:sz w:val="22"/>
          <w:szCs w:val="22"/>
        </w:rPr>
        <w:t xml:space="preserve">Tier 1: Full Sovereign Capability</w:t>
      </w:r>
    </w:p>
    <w:p>
      <w:pPr>
        <w:pStyle w:val="ListParagraph"/>
        <w:numPr>
          <w:ilvl w:val="0"/>
          <w:numId w:val="2"/>
        </w:numPr>
        <w:spacing w:after="80"/>
      </w:pPr>
      <w:r>
        <w:rPr>
          <w:rFonts w:ascii="Arial" w:cs="Arial" w:eastAsia="Arial" w:hAnsi="Arial"/>
          <w:sz w:val="22"/>
          <w:szCs w:val="22"/>
        </w:rPr>
        <w:t xml:space="preserve">AWS: 30+ regions, GovCloud, Outposts for on-prem, sovereign partnerships in Singapore</w:t>
      </w:r>
    </w:p>
    <w:p>
      <w:pPr>
        <w:pStyle w:val="ListParagraph"/>
        <w:numPr>
          <w:ilvl w:val="0"/>
          <w:numId w:val="2"/>
        </w:numPr>
        <w:spacing w:after="80"/>
      </w:pPr>
      <w:r>
        <w:rPr>
          <w:rFonts w:ascii="Arial" w:cs="Arial" w:eastAsia="Arial" w:hAnsi="Arial"/>
          <w:sz w:val="22"/>
          <w:szCs w:val="22"/>
        </w:rPr>
        <w:t xml:space="preserve">Microsoft Azure: 60+ regions, EU Data Boundary, Government clouds, confidential computing</w:t>
      </w:r>
    </w:p>
    <w:p>
      <w:pPr>
        <w:pStyle w:val="ListParagraph"/>
        <w:numPr>
          <w:ilvl w:val="0"/>
          <w:numId w:val="2"/>
        </w:numPr>
        <w:spacing w:after="80"/>
      </w:pPr>
      <w:r>
        <w:rPr>
          <w:rFonts w:ascii="Arial" w:cs="Arial" w:eastAsia="Arial" w:hAnsi="Arial"/>
          <w:sz w:val="22"/>
          <w:szCs w:val="22"/>
        </w:rPr>
        <w:t xml:space="preserve">Rasa: Complete on-prem deployment; zero data leaves the customer environment</w:t>
      </w:r>
    </w:p>
    <w:p>
      <w:pPr>
        <w:pStyle w:val="ListParagraph"/>
        <w:numPr>
          <w:ilvl w:val="0"/>
          <w:numId w:val="2"/>
        </w:numPr>
        <w:spacing w:after="80"/>
      </w:pPr>
      <w:r>
        <w:rPr>
          <w:rFonts w:ascii="Arial" w:cs="Arial" w:eastAsia="Arial" w:hAnsi="Arial"/>
          <w:sz w:val="22"/>
          <w:szCs w:val="22"/>
        </w:rPr>
        <w:t xml:space="preserve">NICE + Cognigy: On-prem and air-gapped deployment with German data processing</w:t>
      </w:r>
    </w:p>
    <w:p>
      <w:pPr>
        <w:spacing w:after="80"/>
      </w:pPr>
    </w:p>
    <w:p>
      <w:pPr>
        <w:spacing w:after="120"/>
      </w:pPr>
      <w:r>
        <w:rPr>
          <w:rFonts w:ascii="Arial" w:cs="Arial" w:eastAsia="Arial" w:hAnsi="Arial"/>
          <w:b/>
          <w:bCs/>
          <w:sz w:val="22"/>
          <w:szCs w:val="22"/>
        </w:rPr>
        <w:t xml:space="preserve">Tier 2: Strong Regional Options</w:t>
      </w:r>
    </w:p>
    <w:p>
      <w:pPr>
        <w:pStyle w:val="ListParagraph"/>
        <w:numPr>
          <w:ilvl w:val="0"/>
          <w:numId w:val="2"/>
        </w:numPr>
        <w:spacing w:after="80"/>
      </w:pPr>
      <w:r>
        <w:rPr>
          <w:rFonts w:ascii="Arial" w:cs="Arial" w:eastAsia="Arial" w:hAnsi="Arial"/>
          <w:sz w:val="22"/>
          <w:szCs w:val="22"/>
        </w:rPr>
        <w:t xml:space="preserve">Genesys: Multi-region cloud with IRAP (Australia), C5 (Germany), but no on-prem</w:t>
      </w:r>
    </w:p>
    <w:p>
      <w:pPr>
        <w:pStyle w:val="ListParagraph"/>
        <w:numPr>
          <w:ilvl w:val="0"/>
          <w:numId w:val="2"/>
        </w:numPr>
        <w:spacing w:after="80"/>
      </w:pPr>
      <w:r>
        <w:rPr>
          <w:rFonts w:ascii="Arial" w:cs="Arial" w:eastAsia="Arial" w:hAnsi="Arial"/>
          <w:sz w:val="22"/>
          <w:szCs w:val="22"/>
        </w:rPr>
        <w:t xml:space="preserve">Telnyx: Paris GPU PoPs for EU, owned infrastructure</w:t>
      </w:r>
    </w:p>
    <w:p>
      <w:pPr>
        <w:pStyle w:val="ListParagraph"/>
        <w:numPr>
          <w:ilvl w:val="0"/>
          <w:numId w:val="2"/>
        </w:numPr>
        <w:spacing w:after="80"/>
      </w:pPr>
      <w:r>
        <w:rPr>
          <w:rFonts w:ascii="Arial" w:cs="Arial" w:eastAsia="Arial" w:hAnsi="Arial"/>
          <w:sz w:val="22"/>
          <w:szCs w:val="22"/>
        </w:rPr>
        <w:t xml:space="preserve">Verint: Enterprise deployment across regions, MAS and ASIC compliance documented</w:t>
      </w:r>
    </w:p>
    <w:p>
      <w:pPr>
        <w:pStyle w:val="ListParagraph"/>
        <w:numPr>
          <w:ilvl w:val="0"/>
          <w:numId w:val="2"/>
        </w:numPr>
        <w:spacing w:after="80"/>
      </w:pPr>
      <w:r>
        <w:rPr>
          <w:rFonts w:ascii="Arial" w:cs="Arial" w:eastAsia="Arial" w:hAnsi="Arial"/>
          <w:sz w:val="22"/>
          <w:szCs w:val="22"/>
        </w:rPr>
        <w:t xml:space="preserve">Google Cloud: Sovereign Cloud, Distributed Cloud for on-prem</w:t>
      </w:r>
    </w:p>
    <w:p>
      <w:pPr>
        <w:spacing w:after="80"/>
      </w:pPr>
    </w:p>
    <w:p>
      <w:pPr>
        <w:spacing w:after="120"/>
      </w:pPr>
      <w:r>
        <w:rPr>
          <w:rFonts w:ascii="Arial" w:cs="Arial" w:eastAsia="Arial" w:hAnsi="Arial"/>
          <w:b/>
          <w:bCs/>
          <w:sz w:val="22"/>
          <w:szCs w:val="22"/>
        </w:rPr>
        <w:t xml:space="preserve">Tier 3: Limited Sovereignty</w:t>
      </w:r>
    </w:p>
    <w:p>
      <w:pPr>
        <w:pStyle w:val="ListParagraph"/>
        <w:numPr>
          <w:ilvl w:val="0"/>
          <w:numId w:val="2"/>
        </w:numPr>
        <w:spacing w:after="80"/>
      </w:pPr>
      <w:r>
        <w:rPr>
          <w:rFonts w:ascii="Arial" w:cs="Arial" w:eastAsia="Arial" w:hAnsi="Arial"/>
          <w:sz w:val="22"/>
          <w:szCs w:val="22"/>
        </w:rPr>
        <w:t xml:space="preserve">Kasisto: Hybrid deployment available but fewer documented sovereign deployments</w:t>
      </w:r>
    </w:p>
    <w:p>
      <w:pPr>
        <w:pStyle w:val="ListParagraph"/>
        <w:numPr>
          <w:ilvl w:val="0"/>
          <w:numId w:val="2"/>
        </w:numPr>
        <w:spacing w:after="80"/>
      </w:pPr>
      <w:r>
        <w:rPr>
          <w:rFonts w:ascii="Arial" w:cs="Arial" w:eastAsia="Arial" w:hAnsi="Arial"/>
          <w:sz w:val="22"/>
          <w:szCs w:val="22"/>
        </w:rPr>
        <w:t xml:space="preserve">Kore.ai: AWS-based with regional options but limited sovereign evidence</w:t>
      </w:r>
    </w:p>
    <w:p>
      <w:pPr>
        <w:pStyle w:val="ListParagraph"/>
        <w:numPr>
          <w:ilvl w:val="0"/>
          <w:numId w:val="2"/>
        </w:numPr>
        <w:spacing w:after="80"/>
      </w:pPr>
      <w:r>
        <w:rPr>
          <w:rFonts w:ascii="Arial" w:cs="Arial" w:eastAsia="Arial" w:hAnsi="Arial"/>
          <w:sz w:val="22"/>
          <w:szCs w:val="22"/>
        </w:rPr>
        <w:t xml:space="preserve">PolyAI, Retell, Bland.ai: Cloud-primarily with SIP trunk options</w:t>
      </w:r>
    </w:p>
    <w:p>
      <w:pPr>
        <w:spacing w:after="80"/>
      </w:pP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The data sovereignty story is strongest for hyperscalers (infrastructure) and open-source (full control). A VocalIQ play targeting MAS TRM or CBUAE compliance would need to either partner with a hyperscaler or build genuine on-prem capability.</w:t>
      </w:r>
    </w:p>
    <w:p>
      <w:r>
        <w:br w:type="page"/>
      </w:r>
    </w:p>
    <w:p>
      <w:pPr>
        <w:pStyle w:val="Heading1"/>
        <w:spacing w:after="160" w:before="360"/>
      </w:pPr>
      <w:r>
        <w:rPr>
          <w:rFonts w:ascii="Arial" w:cs="Arial" w:eastAsia="Arial" w:hAnsi="Arial"/>
          <w:b/>
          <w:bCs/>
          <w:sz w:val="22"/>
          <w:szCs w:val="22"/>
        </w:rPr>
        <w:t xml:space="preserve">Partner Opportunity Map</w:t>
      </w:r>
    </w:p>
    <w:p>
      <w:pPr>
        <w:spacing w:after="120"/>
      </w:pPr>
      <w:r>
        <w:rPr>
          <w:rFonts w:ascii="Arial" w:cs="Arial" w:eastAsia="Arial" w:hAnsi="Arial"/>
          <w:b/>
          <w:bCs/>
          <w:sz w:val="22"/>
          <w:szCs w:val="22"/>
        </w:rPr>
        <w:t xml:space="preserve">Voice AI Platforms Seeking Governance Partners</w:t>
      </w:r>
    </w:p>
    <w:p>
      <w:pPr>
        <w:pStyle w:val="ListParagraph"/>
        <w:numPr>
          <w:ilvl w:val="0"/>
          <w:numId w:val="2"/>
        </w:numPr>
        <w:spacing w:after="80"/>
      </w:pPr>
      <w:r>
        <w:rPr>
          <w:rFonts w:ascii="Arial" w:cs="Arial" w:eastAsia="Arial" w:hAnsi="Arial"/>
          <w:sz w:val="22"/>
          <w:szCs w:val="22"/>
        </w:rPr>
        <w:t xml:space="preserve">PolyAI has strong voice but weak governance. A governance overlay partnership could be mutually beneficial.</w:t>
      </w:r>
    </w:p>
    <w:p>
      <w:pPr>
        <w:pStyle w:val="ListParagraph"/>
        <w:numPr>
          <w:ilvl w:val="0"/>
          <w:numId w:val="2"/>
        </w:numPr>
        <w:spacing w:after="80"/>
      </w:pPr>
      <w:r>
        <w:rPr>
          <w:rFonts w:ascii="Arial" w:cs="Arial" w:eastAsia="Arial" w:hAnsi="Arial"/>
          <w:sz w:val="22"/>
          <w:szCs w:val="22"/>
        </w:rPr>
        <w:t xml:space="preserve">Retell AI and Bland.ai are developer platforms that explicitly need governance wrappers for regulated use cases.</w:t>
      </w:r>
    </w:p>
    <w:p>
      <w:pPr>
        <w:spacing w:after="80"/>
      </w:pPr>
    </w:p>
    <w:p>
      <w:pPr>
        <w:spacing w:after="120"/>
      </w:pPr>
      <w:r>
        <w:rPr>
          <w:rFonts w:ascii="Arial" w:cs="Arial" w:eastAsia="Arial" w:hAnsi="Arial"/>
          <w:b/>
          <w:bCs/>
          <w:sz w:val="22"/>
          <w:szCs w:val="22"/>
        </w:rPr>
        <w:t xml:space="preserve">Governance Players Seeking Voice Partners</w:t>
      </w:r>
    </w:p>
    <w:p>
      <w:pPr>
        <w:pStyle w:val="ListParagraph"/>
        <w:numPr>
          <w:ilvl w:val="0"/>
          <w:numId w:val="2"/>
        </w:numPr>
        <w:spacing w:after="80"/>
      </w:pPr>
      <w:r>
        <w:rPr>
          <w:rFonts w:ascii="Arial" w:cs="Arial" w:eastAsia="Arial" w:hAnsi="Arial"/>
          <w:sz w:val="22"/>
          <w:szCs w:val="22"/>
        </w:rPr>
        <w:t xml:space="preserve">Gryphon AI has governance but no conversational voice AI. Integrations with NICE and Genesys suggest a layering approach.</w:t>
      </w:r>
    </w:p>
    <w:p>
      <w:pPr>
        <w:pStyle w:val="ListParagraph"/>
        <w:numPr>
          <w:ilvl w:val="0"/>
          <w:numId w:val="2"/>
        </w:numPr>
        <w:spacing w:after="80"/>
      </w:pPr>
      <w:r>
        <w:rPr>
          <w:rFonts w:ascii="Arial" w:cs="Arial" w:eastAsia="Arial" w:hAnsi="Arial"/>
          <w:sz w:val="22"/>
          <w:szCs w:val="22"/>
        </w:rPr>
        <w:t xml:space="preserve">Verint owns compliance recording but doesn't do conversational AI. Extending Verint's compliance envelope to voice AI agents could be compelling.</w:t>
      </w:r>
    </w:p>
    <w:p>
      <w:pPr>
        <w:spacing w:after="80"/>
      </w:pPr>
    </w:p>
    <w:p>
      <w:pPr>
        <w:spacing w:after="120"/>
      </w:pPr>
      <w:r>
        <w:rPr>
          <w:rFonts w:ascii="Arial" w:cs="Arial" w:eastAsia="Arial" w:hAnsi="Arial"/>
          <w:b/>
          <w:bCs/>
          <w:sz w:val="22"/>
          <w:szCs w:val="22"/>
        </w:rPr>
        <w:t xml:space="preserve">System Integrators</w:t>
      </w:r>
    </w:p>
    <w:p>
      <w:pPr>
        <w:pStyle w:val="ListParagraph"/>
        <w:numPr>
          <w:ilvl w:val="0"/>
          <w:numId w:val="2"/>
        </w:numPr>
        <w:spacing w:after="80"/>
      </w:pPr>
      <w:r>
        <w:rPr>
          <w:rFonts w:ascii="Arial" w:cs="Arial" w:eastAsia="Arial" w:hAnsi="Arial"/>
          <w:sz w:val="22"/>
          <w:szCs w:val="22"/>
        </w:rPr>
        <w:t xml:space="preserve">Accenture: 63% of banking institutions have limited or no AI governance frameworks, indicating massive SI demand.</w:t>
      </w:r>
    </w:p>
    <w:p>
      <w:pPr>
        <w:pStyle w:val="ListParagraph"/>
        <w:numPr>
          <w:ilvl w:val="0"/>
          <w:numId w:val="2"/>
        </w:numPr>
        <w:spacing w:after="80"/>
      </w:pPr>
      <w:r>
        <w:rPr>
          <w:rFonts w:ascii="Arial" w:cs="Arial" w:eastAsia="Arial" w:hAnsi="Arial"/>
          <w:sz w:val="22"/>
          <w:szCs w:val="22"/>
        </w:rPr>
        <w:t xml:space="preserve">Deloitte: documented partnership with Google Cloud for financial services CCAI deployment.</w:t>
      </w:r>
    </w:p>
    <w:p>
      <w:pPr>
        <w:pStyle w:val="ListParagraph"/>
        <w:numPr>
          <w:ilvl w:val="0"/>
          <w:numId w:val="2"/>
        </w:numPr>
        <w:spacing w:after="80"/>
      </w:pPr>
      <w:r>
        <w:rPr>
          <w:rFonts w:ascii="Arial" w:cs="Arial" w:eastAsia="Arial" w:hAnsi="Arial"/>
          <w:sz w:val="22"/>
          <w:szCs w:val="22"/>
        </w:rPr>
        <w:t xml:space="preserve">Regional SIs in APAC and Middle East would be natural channel partners for a sovereignty-focused offering.</w:t>
      </w:r>
    </w:p>
    <w:p>
      <w:pPr>
        <w:spacing w:after="80"/>
      </w:pPr>
    </w:p>
    <w:p>
      <w:pPr>
        <w:spacing w:after="120"/>
      </w:pPr>
      <w:r>
        <w:rPr>
          <w:rFonts w:ascii="Arial" w:cs="Arial" w:eastAsia="Arial" w:hAnsi="Arial"/>
          <w:b/>
          <w:bCs/>
          <w:sz w:val="22"/>
          <w:szCs w:val="22"/>
        </w:rPr>
        <w:t xml:space="preserve">Cloud Provider Partnership</w:t>
      </w:r>
    </w:p>
    <w:p>
      <w:pPr>
        <w:pStyle w:val="ListParagraph"/>
        <w:numPr>
          <w:ilvl w:val="0"/>
          <w:numId w:val="2"/>
        </w:numPr>
        <w:spacing w:after="80"/>
      </w:pPr>
      <w:r>
        <w:rPr>
          <w:rFonts w:ascii="Arial" w:cs="Arial" w:eastAsia="Arial" w:hAnsi="Arial"/>
          <w:sz w:val="22"/>
          <w:szCs w:val="22"/>
        </w:rPr>
        <w:t xml:space="preserve">AWS published FSI AI governance guide, suggesting they want governance solution partners. Amazon Connect + governance layer is attractive.</w:t>
      </w:r>
    </w:p>
    <w:p>
      <w:pPr>
        <w:pStyle w:val="ListParagraph"/>
        <w:numPr>
          <w:ilvl w:val="0"/>
          <w:numId w:val="2"/>
        </w:numPr>
        <w:spacing w:after="80"/>
      </w:pPr>
      <w:r>
        <w:rPr>
          <w:rFonts w:ascii="Arial" w:cs="Arial" w:eastAsia="Arial" w:hAnsi="Arial"/>
          <w:sz w:val="22"/>
          <w:szCs w:val="22"/>
        </w:rPr>
        <w:t xml:space="preserve">Microsoft: Kasisto's November 2025 Azure ecosystem announcement shows this partnership path works.</w:t>
      </w:r>
    </w:p>
    <w:p>
      <w:r>
        <w:br w:type="page"/>
      </w:r>
    </w:p>
    <w:p>
      <w:pPr>
        <w:pStyle w:val="Heading1"/>
        <w:spacing w:after="160" w:before="360"/>
      </w:pPr>
      <w:r>
        <w:rPr>
          <w:rFonts w:ascii="Arial" w:cs="Arial" w:eastAsia="Arial" w:hAnsi="Arial"/>
          <w:b/>
          <w:bCs/>
          <w:sz w:val="22"/>
          <w:szCs w:val="22"/>
        </w:rPr>
        <w:t xml:space="preserve">Strategic Recommendation</w:t>
      </w:r>
    </w:p>
    <w:p>
      <w:pPr>
        <w:pStyle w:val="Heading2"/>
        <w:spacing w:after="160" w:before="240"/>
      </w:pPr>
      <w:r>
        <w:rPr>
          <w:rFonts w:ascii="Arial" w:cs="Arial" w:eastAsia="Arial" w:hAnsi="Arial"/>
          <w:b/>
          <w:bCs/>
          <w:sz w:val="22"/>
          <w:szCs w:val="22"/>
        </w:rPr>
        <w:t xml:space="preserve">The Three Viable Paths for VocalIQ</w:t>
      </w:r>
    </w:p>
    <w:p>
      <w:pPr>
        <w:spacing w:after="80"/>
      </w:pPr>
    </w:p>
    <w:p>
      <w:pPr>
        <w:spacing w:after="120"/>
      </w:pPr>
      <w:r>
        <w:rPr>
          <w:rFonts w:ascii="Arial" w:cs="Arial" w:eastAsia="Arial" w:hAnsi="Arial"/>
          <w:b/>
          <w:bCs/>
          <w:sz w:val="22"/>
          <w:szCs w:val="22"/>
        </w:rPr>
        <w:t xml:space="preserve">Path A: Governance Orchestration Layer (Recommended)</w:t>
      </w:r>
    </w:p>
    <w:p>
      <w:pPr>
        <w:spacing w:after="120"/>
      </w:pPr>
      <w:r>
        <w:rPr>
          <w:rFonts w:ascii="Arial" w:cs="Arial" w:eastAsia="Arial" w:hAnsi="Arial"/>
          <w:sz w:val="22"/>
          <w:szCs w:val="22"/>
        </w:rPr>
        <w:t xml:space="preserve">Build VocalIQ as a banking-specific governance orchestration platform that sits between voice AI platforms and the bank's compliance infrastructure. Differentiate on:</w:t>
      </w:r>
    </w:p>
    <w:p>
      <w:pPr>
        <w:pStyle w:val="ListParagraph"/>
        <w:numPr>
          <w:ilvl w:val="0"/>
          <w:numId w:val="2"/>
        </w:numPr>
        <w:spacing w:after="80"/>
      </w:pPr>
      <w:r>
        <w:rPr>
          <w:rFonts w:ascii="Arial" w:cs="Arial" w:eastAsia="Arial" w:hAnsi="Arial"/>
          <w:b/>
          <w:bCs/>
          <w:sz w:val="22"/>
          <w:szCs w:val="22"/>
        </w:rPr>
        <w:t xml:space="preserve">Banking-workflow-specific policy enforcement </w:t>
      </w:r>
      <w:r>
        <w:rPr>
          <w:rFonts w:ascii="Arial" w:cs="Arial" w:eastAsia="Arial" w:hAnsi="Arial"/>
          <w:sz w:val="22"/>
          <w:szCs w:val="22"/>
        </w:rPr>
        <w:t xml:space="preserve">that goes beyond TCPA/consent into KYC voice flow governance, trade finance authorization chains, card operations dispute compliance, and wealth management suitability checks</w:t>
      </w:r>
    </w:p>
    <w:p>
      <w:pPr>
        <w:pStyle w:val="ListParagraph"/>
        <w:numPr>
          <w:ilvl w:val="0"/>
          <w:numId w:val="2"/>
        </w:numPr>
        <w:spacing w:after="80"/>
      </w:pPr>
      <w:r>
        <w:rPr>
          <w:rFonts w:ascii="Arial" w:cs="Arial" w:eastAsia="Arial" w:hAnsi="Arial"/>
          <w:b/>
          <w:bCs/>
          <w:sz w:val="22"/>
          <w:szCs w:val="22"/>
        </w:rPr>
        <w:t xml:space="preserve">Multi-vendor governance </w:t>
      </w:r>
      <w:r>
        <w:rPr>
          <w:rFonts w:ascii="Arial" w:cs="Arial" w:eastAsia="Arial" w:hAnsi="Arial"/>
          <w:sz w:val="22"/>
          <w:szCs w:val="22"/>
        </w:rPr>
        <w:t xml:space="preserve">that works regardless of which voice platform the bank uses, recognizing large banks use multiple platforms across business lines</w:t>
      </w:r>
    </w:p>
    <w:p>
      <w:pPr>
        <w:pStyle w:val="ListParagraph"/>
        <w:numPr>
          <w:ilvl w:val="0"/>
          <w:numId w:val="2"/>
        </w:numPr>
        <w:spacing w:after="80"/>
      </w:pPr>
      <w:r>
        <w:rPr>
          <w:rFonts w:ascii="Arial" w:cs="Arial" w:eastAsia="Arial" w:hAnsi="Arial"/>
          <w:b/>
          <w:bCs/>
          <w:sz w:val="22"/>
          <w:szCs w:val="22"/>
        </w:rPr>
        <w:t xml:space="preserve">Regulatory intelligence </w:t>
      </w:r>
      <w:r>
        <w:rPr>
          <w:rFonts w:ascii="Arial" w:cs="Arial" w:eastAsia="Arial" w:hAnsi="Arial"/>
          <w:sz w:val="22"/>
          <w:szCs w:val="22"/>
        </w:rPr>
        <w:t xml:space="preserve">pre-configured for specific jurisdictions (MAS TRM, CBUAE, APRA, FCA, ECB SSM) rather than generic compliance</w:t>
      </w:r>
    </w:p>
    <w:p>
      <w:pPr>
        <w:spacing w:after="120"/>
      </w:pPr>
      <w:r>
        <w:rPr>
          <w:rFonts w:ascii="Arial" w:cs="Arial" w:eastAsia="Arial" w:hAnsi="Arial"/>
          <w:sz w:val="22"/>
          <w:szCs w:val="22"/>
        </w:rPr>
        <w:t xml:space="preserve">Time-to-market: 12-18 months to MVP. Capital: $5-15M. Risk: Gryphon AI is moving in this direction. Speed matters.</w:t>
      </w:r>
    </w:p>
    <w:p>
      <w:pPr>
        <w:spacing w:after="80"/>
      </w:pPr>
    </w:p>
    <w:p>
      <w:pPr>
        <w:spacing w:after="120"/>
      </w:pPr>
      <w:r>
        <w:rPr>
          <w:rFonts w:ascii="Arial" w:cs="Arial" w:eastAsia="Arial" w:hAnsi="Arial"/>
          <w:b/>
          <w:bCs/>
          <w:sz w:val="22"/>
          <w:szCs w:val="22"/>
        </w:rPr>
        <w:t xml:space="preserve">Path B: Sovereign Voice AI for APAC/Middle East</w:t>
      </w:r>
    </w:p>
    <w:p>
      <w:pPr>
        <w:spacing w:after="120"/>
      </w:pPr>
      <w:r>
        <w:rPr>
          <w:rFonts w:ascii="Arial" w:cs="Arial" w:eastAsia="Arial" w:hAnsi="Arial"/>
          <w:sz w:val="22"/>
          <w:szCs w:val="22"/>
        </w:rPr>
        <w:t xml:space="preserve">Build VocalIQ as an on-premise/sovereign-cloud voice AI platform for banks in jurisdictions where major platforms are weakest: Singapore, Indonesia, UAE, Saudi Arabia, India. Bundle voice AI + governance + data sovereignty.</w:t>
      </w:r>
    </w:p>
    <w:p>
      <w:pPr>
        <w:spacing w:after="120"/>
      </w:pPr>
      <w:r>
        <w:rPr>
          <w:rFonts w:ascii="Arial" w:cs="Arial" w:eastAsia="Arial" w:hAnsi="Arial"/>
          <w:sz w:val="22"/>
          <w:szCs w:val="22"/>
        </w:rPr>
        <w:t xml:space="preserve">Capital: $20-40M. Timeline: 24-36 months. Risk: Hyperscaler sovereign cloud buildout may close the gap faster than expected.</w:t>
      </w:r>
    </w:p>
    <w:p>
      <w:pPr>
        <w:spacing w:after="80"/>
      </w:pPr>
    </w:p>
    <w:p>
      <w:pPr>
        <w:spacing w:after="120"/>
      </w:pPr>
      <w:r>
        <w:rPr>
          <w:rFonts w:ascii="Arial" w:cs="Arial" w:eastAsia="Arial" w:hAnsi="Arial"/>
          <w:b/>
          <w:bCs/>
          <w:sz w:val="22"/>
          <w:szCs w:val="22"/>
        </w:rPr>
        <w:t xml:space="preserve">Path C: Full-Stack Banking Voice AI (Not Recommended)</w:t>
      </w:r>
    </w:p>
    <w:p>
      <w:pPr>
        <w:spacing w:after="120"/>
      </w:pPr>
      <w:r>
        <w:rPr>
          <w:rFonts w:ascii="Arial" w:cs="Arial" w:eastAsia="Arial" w:hAnsi="Arial"/>
          <w:sz w:val="22"/>
          <w:szCs w:val="22"/>
        </w:rPr>
        <w:t xml:space="preserve">Build a complete voice AI platform competing with Kasisto, Kore.ai, and CCaaS giants. Requires $100M+ in capital, 3-5 years to production credibility. Only viable with a proprietary advantage the incumbents cannot replicate.</w:t>
      </w:r>
    </w:p>
    <w:p>
      <w:pPr>
        <w:spacing w:after="80"/>
      </w:pPr>
    </w:p>
    <w:p>
      <w:pPr>
        <w:pStyle w:val="Heading2"/>
        <w:spacing w:after="160" w:before="240"/>
      </w:pPr>
      <w:r>
        <w:rPr>
          <w:rFonts w:ascii="Arial" w:cs="Arial" w:eastAsia="Arial" w:hAnsi="Arial"/>
          <w:b/>
          <w:bCs/>
          <w:sz w:val="22"/>
          <w:szCs w:val="22"/>
        </w:rPr>
        <w:t xml:space="preserve">Final Assessment</w:t>
      </w:r>
    </w:p>
    <w:p>
      <w:pPr>
        <w:spacing w:after="120"/>
      </w:pPr>
      <w:r>
        <w:rPr>
          <w:rFonts w:ascii="Arial" w:cs="Arial" w:eastAsia="Arial" w:hAnsi="Arial"/>
          <w:sz w:val="22"/>
          <w:szCs w:val="22"/>
        </w:rPr>
        <w:t xml:space="preserve">The governance gap in voice AI for banking is real, but it is being actively closed by multiple well-funded players from different directions. The market window for a new entrant is 18-24 months, not the 3-5 years it appeared to be a year ago.</w:t>
      </w:r>
    </w:p>
    <w:p>
      <w:pPr>
        <w:spacing w:after="120"/>
      </w:pPr>
      <w:r>
        <w:rPr>
          <w:rFonts w:ascii="Arial" w:cs="Arial" w:eastAsia="Arial" w:hAnsi="Arial"/>
          <w:sz w:val="22"/>
          <w:szCs w:val="22"/>
        </w:rPr>
        <w:t xml:space="preserve">The build case holds strongest for a governance orchestration layer (Path A) or a sovereign-focused offering (Path B). It does not hold for a full-stack platform competing against Genesys, NICE+Cognigy, and the hyperscalers.</w:t>
      </w:r>
    </w:p>
    <w:p>
      <w:pPr>
        <w:spacing w:after="120"/>
      </w:pPr>
      <w:r>
        <w:rPr>
          <w:rFonts w:ascii="Arial" w:cs="Arial" w:eastAsia="Arial" w:hAnsi="Arial"/>
          <w:b/>
          <w:bCs/>
          <w:sz w:val="22"/>
          <w:szCs w:val="22"/>
        </w:rPr>
        <w:t xml:space="preserve">Whatever path is chosen, the first 12 months must deliver at least two named bank pilots.</w:t>
      </w:r>
      <w:r>
        <w:rPr>
          <w:rFonts w:ascii="Arial" w:cs="Arial" w:eastAsia="Arial" w:hAnsi="Arial"/>
          <w:sz w:val="22"/>
          <w:szCs w:val="22"/>
        </w:rPr>
        <w:t xml:space="preserve"> Without production evidence in regulated environments, no amount of technical capability will overcome the trust deficit that banking buyers apply to unproven vendors.</w:t>
      </w:r>
    </w:p>
    <w:p>
      <w:r>
        <w:br w:type="page"/>
      </w:r>
    </w:p>
    <w:p>
      <w:pPr>
        <w:pStyle w:val="Heading1"/>
        <w:spacing w:after="160" w:before="360"/>
      </w:pPr>
      <w:r>
        <w:rPr>
          <w:rFonts w:ascii="Arial" w:cs="Arial" w:eastAsia="Arial" w:hAnsi="Arial"/>
          <w:b/>
          <w:bCs/>
          <w:sz w:val="22"/>
          <w:szCs w:val="22"/>
        </w:rPr>
        <w:t xml:space="preserve">Source Index</w:t>
      </w:r>
    </w:p>
    <w:p>
      <w:pPr>
        <w:spacing w:after="120"/>
      </w:pPr>
      <w:r>
        <w:rPr>
          <w:rFonts w:ascii="Arial" w:cs="Arial" w:eastAsia="Arial" w:hAnsi="Arial"/>
          <w:b/>
          <w:bCs/>
          <w:sz w:val="22"/>
          <w:szCs w:val="22"/>
        </w:rPr>
        <w:t xml:space="preserve">NICE + Cognigy</w:t>
      </w:r>
    </w:p>
    <w:p>
      <w:pPr>
        <w:pStyle w:val="ListParagraph"/>
        <w:numPr>
          <w:ilvl w:val="0"/>
          <w:numId w:val="2"/>
        </w:numPr>
        <w:spacing w:after="80"/>
      </w:pPr>
      <w:r>
        <w:rPr>
          <w:rFonts w:ascii="Arial" w:cs="Arial" w:eastAsia="Arial" w:hAnsi="Arial"/>
          <w:sz w:val="22"/>
          <w:szCs w:val="22"/>
        </w:rPr>
        <w:t xml:space="preserve">NICE acquisition close: https://www.nice.com/press-releases/nice-closes-acquisition-of-cognigy-transforming-customer-experience-with-best-in-class-data-driven-cx-ai-platform</w:t>
      </w:r>
    </w:p>
    <w:p>
      <w:pPr>
        <w:pStyle w:val="ListParagraph"/>
        <w:numPr>
          <w:ilvl w:val="0"/>
          <w:numId w:val="2"/>
        </w:numPr>
        <w:spacing w:after="80"/>
      </w:pPr>
      <w:r>
        <w:rPr>
          <w:rFonts w:ascii="Arial" w:cs="Arial" w:eastAsia="Arial" w:hAnsi="Arial"/>
          <w:sz w:val="22"/>
          <w:szCs w:val="22"/>
        </w:rPr>
        <w:t xml:space="preserve">Cognigy 2025.20 release: https://www.cognigy.com/product-updates/2025.20</w:t>
      </w:r>
    </w:p>
    <w:p>
      <w:pPr>
        <w:pStyle w:val="ListParagraph"/>
        <w:numPr>
          <w:ilvl w:val="0"/>
          <w:numId w:val="2"/>
        </w:numPr>
        <w:spacing w:after="80"/>
      </w:pPr>
      <w:r>
        <w:rPr>
          <w:rFonts w:ascii="Arial" w:cs="Arial" w:eastAsia="Arial" w:hAnsi="Arial"/>
          <w:sz w:val="22"/>
          <w:szCs w:val="22"/>
        </w:rPr>
        <w:t xml:space="preserve">Cognigy Trust Center: https://trust.cognigy.com/</w:t>
      </w:r>
    </w:p>
    <w:p>
      <w:pPr>
        <w:pStyle w:val="ListParagraph"/>
        <w:numPr>
          <w:ilvl w:val="0"/>
          <w:numId w:val="2"/>
        </w:numPr>
        <w:spacing w:after="80"/>
      </w:pPr>
      <w:r>
        <w:rPr>
          <w:rFonts w:ascii="Arial" w:cs="Arial" w:eastAsia="Arial" w:hAnsi="Arial"/>
          <w:sz w:val="22"/>
          <w:szCs w:val="22"/>
        </w:rPr>
        <w:t xml:space="preserve">NICE CXone AI Governance: https://www.nice.com/resources/cxone-responsible-ethical-ai-governance</w:t>
      </w:r>
    </w:p>
    <w:p>
      <w:pPr>
        <w:spacing w:after="120"/>
      </w:pPr>
      <w:r>
        <w:rPr>
          <w:rFonts w:ascii="Arial" w:cs="Arial" w:eastAsia="Arial" w:hAnsi="Arial"/>
          <w:b/>
          <w:bCs/>
          <w:sz w:val="22"/>
          <w:szCs w:val="22"/>
        </w:rPr>
        <w:t xml:space="preserve">Kasisto</w:t>
      </w:r>
    </w:p>
    <w:p>
      <w:pPr>
        <w:pStyle w:val="ListParagraph"/>
        <w:numPr>
          <w:ilvl w:val="0"/>
          <w:numId w:val="2"/>
        </w:numPr>
        <w:spacing w:after="80"/>
      </w:pPr>
      <w:r>
        <w:rPr>
          <w:rFonts w:ascii="Arial" w:cs="Arial" w:eastAsia="Arial" w:hAnsi="Arial"/>
          <w:sz w:val="22"/>
          <w:szCs w:val="22"/>
        </w:rPr>
        <w:t xml:space="preserve">KAIgentic launch: https://kasisto.com/press-releases/kasisto-launches-kaigentic-the-banking-standard-for-agentic-ai/</w:t>
      </w:r>
    </w:p>
    <w:p>
      <w:pPr>
        <w:pStyle w:val="ListParagraph"/>
        <w:numPr>
          <w:ilvl w:val="0"/>
          <w:numId w:val="2"/>
        </w:numPr>
        <w:spacing w:after="80"/>
      </w:pPr>
      <w:r>
        <w:rPr>
          <w:rFonts w:ascii="Arial" w:cs="Arial" w:eastAsia="Arial" w:hAnsi="Arial"/>
          <w:sz w:val="22"/>
          <w:szCs w:val="22"/>
        </w:rPr>
        <w:t xml:space="preserve">Security in KAI's DNA: https://kasisto.com/blog/security-is-in-kais-dna/</w:t>
      </w:r>
    </w:p>
    <w:p>
      <w:pPr>
        <w:pStyle w:val="ListParagraph"/>
        <w:numPr>
          <w:ilvl w:val="0"/>
          <w:numId w:val="2"/>
        </w:numPr>
        <w:spacing w:after="80"/>
      </w:pPr>
      <w:r>
        <w:rPr>
          <w:rFonts w:ascii="Arial" w:cs="Arial" w:eastAsia="Arial" w:hAnsi="Arial"/>
          <w:sz w:val="22"/>
          <w:szCs w:val="22"/>
        </w:rPr>
        <w:t xml:space="preserve">Microsoft partnership: https://www.businesswire.com/news/home/20251119358992/en/Kasisto-Powers-AI-for-Banking-Across-the-Microsoft-Enterprise-Ecosystem</w:t>
      </w:r>
    </w:p>
    <w:p>
      <w:pPr>
        <w:spacing w:after="120"/>
      </w:pPr>
      <w:r>
        <w:rPr>
          <w:rFonts w:ascii="Arial" w:cs="Arial" w:eastAsia="Arial" w:hAnsi="Arial"/>
          <w:b/>
          <w:bCs/>
          <w:sz w:val="22"/>
          <w:szCs w:val="22"/>
        </w:rPr>
        <w:t xml:space="preserve">Genesys</w:t>
      </w:r>
    </w:p>
    <w:p>
      <w:pPr>
        <w:pStyle w:val="ListParagraph"/>
        <w:numPr>
          <w:ilvl w:val="0"/>
          <w:numId w:val="2"/>
        </w:numPr>
        <w:spacing w:after="80"/>
      </w:pPr>
      <w:r>
        <w:rPr>
          <w:rFonts w:ascii="Arial" w:cs="Arial" w:eastAsia="Arial" w:hAnsi="Arial"/>
          <w:sz w:val="22"/>
          <w:szCs w:val="22"/>
        </w:rPr>
        <w:t xml:space="preserve">Responsible AI: https://www.genesys.com/blog/post/genesys-powers-responsible-cx-in-the-agentic-ai-era</w:t>
      </w:r>
    </w:p>
    <w:p>
      <w:pPr>
        <w:pStyle w:val="ListParagraph"/>
        <w:numPr>
          <w:ilvl w:val="0"/>
          <w:numId w:val="2"/>
        </w:numPr>
        <w:spacing w:after="80"/>
      </w:pPr>
      <w:r>
        <w:rPr>
          <w:rFonts w:ascii="Arial" w:cs="Arial" w:eastAsia="Arial" w:hAnsi="Arial"/>
          <w:sz w:val="22"/>
          <w:szCs w:val="22"/>
        </w:rPr>
        <w:t xml:space="preserve">Trust Center: https://www.genesys.com/trust-center/compliance</w:t>
      </w:r>
    </w:p>
    <w:p>
      <w:pPr>
        <w:pStyle w:val="ListParagraph"/>
        <w:numPr>
          <w:ilvl w:val="0"/>
          <w:numId w:val="2"/>
        </w:numPr>
        <w:spacing w:after="80"/>
      </w:pPr>
      <w:r>
        <w:rPr>
          <w:rFonts w:ascii="Arial" w:cs="Arial" w:eastAsia="Arial" w:hAnsi="Arial"/>
          <w:sz w:val="22"/>
          <w:szCs w:val="22"/>
        </w:rPr>
        <w:t xml:space="preserve">Security standards: https://help.genesys.cloud/articles/supported-security-standards/</w:t>
      </w:r>
    </w:p>
    <w:p>
      <w:pPr>
        <w:spacing w:after="120"/>
      </w:pPr>
      <w:r>
        <w:rPr>
          <w:rFonts w:ascii="Arial" w:cs="Arial" w:eastAsia="Arial" w:hAnsi="Arial"/>
          <w:b/>
          <w:bCs/>
          <w:sz w:val="22"/>
          <w:szCs w:val="22"/>
        </w:rPr>
        <w:t xml:space="preserve">Other Vendors</w:t>
      </w:r>
    </w:p>
    <w:p>
      <w:pPr>
        <w:pStyle w:val="ListParagraph"/>
        <w:numPr>
          <w:ilvl w:val="0"/>
          <w:numId w:val="2"/>
        </w:numPr>
        <w:spacing w:after="80"/>
      </w:pPr>
      <w:r>
        <w:rPr>
          <w:rFonts w:ascii="Arial" w:cs="Arial" w:eastAsia="Arial" w:hAnsi="Arial"/>
          <w:sz w:val="22"/>
          <w:szCs w:val="22"/>
        </w:rPr>
        <w:t xml:space="preserve">Kore.ai Morgan Stanley: https://www.kore.ai/customer-stories/morgan-stanley-financial-advisor-ai-support</w:t>
      </w:r>
    </w:p>
    <w:p>
      <w:pPr>
        <w:pStyle w:val="ListParagraph"/>
        <w:numPr>
          <w:ilvl w:val="0"/>
          <w:numId w:val="2"/>
        </w:numPr>
        <w:spacing w:after="80"/>
      </w:pPr>
      <w:r>
        <w:rPr>
          <w:rFonts w:ascii="Arial" w:cs="Arial" w:eastAsia="Arial" w:hAnsi="Arial"/>
          <w:sz w:val="22"/>
          <w:szCs w:val="22"/>
        </w:rPr>
        <w:t xml:space="preserve">PolyAI Series D: https://poly.ai/blog/polyai-raises-86m-to-transform-how-enterprises-talk-to-their-customers</w:t>
      </w:r>
    </w:p>
    <w:p>
      <w:pPr>
        <w:pStyle w:val="ListParagraph"/>
        <w:numPr>
          <w:ilvl w:val="0"/>
          <w:numId w:val="2"/>
        </w:numPr>
        <w:spacing w:after="80"/>
      </w:pPr>
      <w:r>
        <w:rPr>
          <w:rFonts w:ascii="Arial" w:cs="Arial" w:eastAsia="Arial" w:hAnsi="Arial"/>
          <w:sz w:val="22"/>
          <w:szCs w:val="22"/>
        </w:rPr>
        <w:t xml:space="preserve">Gryphon AI 1H 2026 launch: https://www.prnewswire.com/news-releases/gryphon-ai-unveils-1h-2026-strategic-product-launch-redefining-contact-compliance-as-a-unified-grc-control-layer-302754900.html</w:t>
      </w:r>
    </w:p>
    <w:p>
      <w:pPr>
        <w:pStyle w:val="ListParagraph"/>
        <w:numPr>
          <w:ilvl w:val="0"/>
          <w:numId w:val="2"/>
        </w:numPr>
        <w:spacing w:after="80"/>
      </w:pPr>
      <w:r>
        <w:rPr>
          <w:rFonts w:ascii="Arial" w:cs="Arial" w:eastAsia="Arial" w:hAnsi="Arial"/>
          <w:sz w:val="22"/>
          <w:szCs w:val="22"/>
        </w:rPr>
        <w:t xml:space="preserve">Verint Financial Compliance: https://www.verint.com/financial-compliance/</w:t>
      </w:r>
    </w:p>
    <w:p>
      <w:pPr>
        <w:pStyle w:val="ListParagraph"/>
        <w:numPr>
          <w:ilvl w:val="0"/>
          <w:numId w:val="2"/>
        </w:numPr>
        <w:spacing w:after="80"/>
      </w:pPr>
      <w:r>
        <w:rPr>
          <w:rFonts w:ascii="Arial" w:cs="Arial" w:eastAsia="Arial" w:hAnsi="Arial"/>
          <w:sz w:val="22"/>
          <w:szCs w:val="22"/>
        </w:rPr>
        <w:t xml:space="preserve">AWS FSI AI GRC Guide: https://aws.amazon.com/blogs/security/introducing-the-aws-user-guide-to-governance-risk-and-compliance-for-responsible-ai-adoption-within-financial-services-industries/</w:t>
      </w:r>
    </w:p>
    <w:p>
      <w:pPr>
        <w:pStyle w:val="ListParagraph"/>
        <w:numPr>
          <w:ilvl w:val="0"/>
          <w:numId w:val="2"/>
        </w:numPr>
        <w:spacing w:after="80"/>
      </w:pPr>
      <w:r>
        <w:rPr>
          <w:rFonts w:ascii="Arial" w:cs="Arial" w:eastAsia="Arial" w:hAnsi="Arial"/>
          <w:sz w:val="22"/>
          <w:szCs w:val="22"/>
        </w:rPr>
        <w:t xml:space="preserve">Retell AI Compliance: https://docs.retellai.com/general/compliance</w:t>
      </w:r>
    </w:p>
    <w:p>
      <w:pPr>
        <w:spacing w:after="120"/>
      </w:pPr>
      <w:r>
        <w:rPr>
          <w:rFonts w:ascii="Arial" w:cs="Arial" w:eastAsia="Arial" w:hAnsi="Arial"/>
          <w:b/>
          <w:bCs/>
          <w:sz w:val="22"/>
          <w:szCs w:val="22"/>
        </w:rPr>
        <w:t xml:space="preserve">Regulatory Sources</w:t>
      </w:r>
    </w:p>
    <w:p>
      <w:pPr>
        <w:pStyle w:val="ListParagraph"/>
        <w:numPr>
          <w:ilvl w:val="0"/>
          <w:numId w:val="2"/>
        </w:numPr>
        <w:spacing w:after="80"/>
      </w:pPr>
      <w:r>
        <w:rPr>
          <w:rFonts w:ascii="Arial" w:cs="Arial" w:eastAsia="Arial" w:hAnsi="Arial"/>
          <w:sz w:val="22"/>
          <w:szCs w:val="22"/>
        </w:rPr>
        <w:t xml:space="preserve">U.S. Treasury FS AI RMF: https://home.treasury.gov/system/files/136/Artificial-Intelligence-in-Financial-Services.pdf</w:t>
      </w:r>
    </w:p>
    <w:p>
      <w:pPr>
        <w:pStyle w:val="ListParagraph"/>
        <w:numPr>
          <w:ilvl w:val="0"/>
          <w:numId w:val="2"/>
        </w:numPr>
        <w:spacing w:after="80"/>
      </w:pPr>
      <w:r>
        <w:rPr>
          <w:rFonts w:ascii="Arial" w:cs="Arial" w:eastAsia="Arial" w:hAnsi="Arial"/>
          <w:sz w:val="22"/>
          <w:szCs w:val="22"/>
        </w:rPr>
        <w:t xml:space="preserve">Federal Reserve AI guidance (May 2026): https://www.federalreserve.gov/newsevents/speech/bowman20260501a.htm</w:t>
      </w:r>
    </w:p>
    <w:p>
      <w:pPr>
        <w:pStyle w:val="ListParagraph"/>
        <w:numPr>
          <w:ilvl w:val="0"/>
          <w:numId w:val="2"/>
        </w:numPr>
        <w:spacing w:after="80"/>
      </w:pPr>
      <w:r>
        <w:rPr>
          <w:rFonts w:ascii="Arial" w:cs="Arial" w:eastAsia="Arial" w:hAnsi="Arial"/>
          <w:sz w:val="22"/>
          <w:szCs w:val="22"/>
        </w:rPr>
        <w:t xml:space="preserve">MAS sovereign cloud guidance: https://www.cloud4c.com/blogs/sovereign-cloud-for-banks-in-singapore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999999"/>
        <w:sz w:val="16"/>
        <w:szCs w:val="16"/>
      </w:rPr>
      <w:t xml:space="preserve">VocalIQ Competitive Governance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2026-05-04T11:44:47.783Z</dcterms:created>
  <dcterms:modified xsi:type="dcterms:W3CDTF">2026-05-04T11:44:47.784Z</dcterms:modified>
</cp:coreProperties>
</file>

<file path=docProps/custom.xml><?xml version="1.0" encoding="utf-8"?>
<Properties xmlns="http://schemas.openxmlformats.org/officeDocument/2006/custom-properties" xmlns:vt="http://schemas.openxmlformats.org/officeDocument/2006/docPropsVTypes"/>
</file>