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OILTRACE • SIH 2026 • Problem 26143</w:t>
      </w:r>
    </w:p>
    <w:p>
      <w:pPr>
        <w:pStyle w:val="Title"/>
        <w:jc w:val="center"/>
      </w:pPr>
      <w:r>
        <w:t>Attribution Data Contract</w:t>
      </w:r>
    </w:p>
    <w:p>
      <w:pPr>
        <w:jc w:val="center"/>
      </w:pPr>
      <w:r>
        <w:t>Version 1.0  |  Backend / API Contract  |  27 August 2026</w:t>
      </w:r>
    </w:p>
    <w:p>
      <w:pPr>
        <w:jc w:val="center"/>
      </w:pPr>
      <w:r>
        <w:rPr>
          <w:b/>
        </w:rPr>
        <w:t xml:space="preserve">Purpose: Define the evidence-based vessel attribution object produced for a spill incident. </w:t>
      </w:r>
      <w:r>
        <w:t>The contract reports compatibility and supporting evidence; it does not assert guilt or a probability of responsibility.</w:t>
      </w:r>
    </w:p>
    <w:p>
      <w:pPr>
        <w:pStyle w:val="Heading1"/>
      </w:pPr>
      <w:r>
        <w:t>1. Contract intent</w:t>
      </w:r>
    </w:p>
    <w:p>
      <w:pPr/>
      <w:r>
        <w:t>An Attribution represents the assessment of one vessel against one oil-spill incident. It combines multiple evidence dimensions into a normalized overall compatibility score and preserves enough structured evidence for the frontend to explain why a vessel received its rank. The SIH working document requires MMSI, overall score, evidence breakdown and rank; this contract expands that minimum into typed nested models. [See team working document, API/data-contract requirements section]</w:t>
      </w:r>
    </w:p>
    <w:p>
      <w:pPr>
        <w:pStyle w:val="Heading1"/>
      </w:pPr>
      <w:r>
        <w:t>2. Existing work vs. our proposed design</w:t>
      </w:r>
    </w:p>
    <w:p>
      <w:pPr/>
      <w:r>
        <w:t>Existing work: operational maritime surveillance workflows such as EMSA CleanSeaNet use satellite-derived pollution information together with vessel traffic and supporting environmental information to help identify possible pollution sources. AIS itself provides dynamic vessel information such as position, time, course, speed, heading and navigation status. Our contract follows the same evidence-fusion principle while adapting the representation to the OilTrace MVP. Source: EMSA CleanSeaNet documentation (https://www.emsa.europa.eu/csn-menu.html) and AISStream/official AIS references.</w:t>
      </w:r>
    </w:p>
    <w:p>
      <w:pPr/>
      <w:r>
        <w:t>Our proposed design: represent attribution as one record per candidate vessel, use five core evidence dimensions (spatial, temporal, trajectory, source_probability and ais_anomaly), expose weighted contributions and human-readable explanations, and keep matched source-region relationships as separate references. The exact weights and scoring formula are configurable project decisions, not standards.</w:t>
      </w:r>
    </w:p>
    <w:p>
      <w:pPr>
        <w:pStyle w:val="Heading1"/>
      </w:pPr>
      <w:r>
        <w:t>3. Contract structure</w:t>
      </w:r>
    </w:p>
    <w:p>
      <w:pPr>
        <w:pStyle w:val="CodeBlock"/>
        <w:spacing w:after="80"/>
        <w:ind w:left="288"/>
      </w:pPr>
      <w:r>
        <w:t>Attribution</w:t>
        <w:br/>
        <w:t>├── incident_id</w:t>
        <w:br/>
        <w:t>├── mmsi</w:t>
        <w:br/>
        <w:t>├── overall_score</w:t>
        <w:br/>
        <w:t>├── rank</w:t>
        <w:br/>
        <w:t>├── evidence_breakdown</w:t>
        <w:br/>
        <w:t>│   ├── spatial</w:t>
        <w:br/>
        <w:t>│   ├── temporal</w:t>
        <w:br/>
        <w:t>│   ├── trajectory</w:t>
        <w:br/>
        <w:t>│   ├── source_probability</w:t>
        <w:br/>
        <w:t>│   └── ais_anomaly</w:t>
        <w:br/>
        <w:t>└── matched_source_regions[]</w:t>
        <w:br/>
        <w:t xml:space="preserve">    ├── source_candidate_region_id</w:t>
        <w:br/>
        <w:t xml:space="preserve">    └── compatibility_score</w:t>
      </w:r>
    </w:p>
    <w:p>
      <w:pPr>
        <w:pStyle w:val="Heading1"/>
      </w:pPr>
      <w:r>
        <w:t>4. Attribution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2E8F0"/>
          </w:tcPr>
          <w:p>
            <w:pPr>
              <w:spacing w:after="0"/>
            </w:pPr>
            <w:r/>
            <w:r>
              <w:rPr>
                <w:b/>
              </w:rPr>
              <w:t>Field</w:t>
            </w:r>
          </w:p>
        </w:tc>
        <w:tc>
          <w:tcPr>
            <w:tcW w:type="dxa" w:w="2045"/>
            <w:vAlign w:val="center"/>
            <w:shd w:fill="E2E8F0"/>
          </w:tcPr>
          <w:p>
            <w:pPr>
              <w:spacing w:after="0"/>
            </w:pPr>
            <w:r/>
            <w:r>
              <w:rPr>
                <w:b/>
              </w:rPr>
              <w:t>Type</w:t>
            </w:r>
          </w:p>
        </w:tc>
        <w:tc>
          <w:tcPr>
            <w:tcW w:type="dxa" w:w="2045"/>
            <w:vAlign w:val="center"/>
            <w:shd w:fill="E2E8F0"/>
          </w:tcPr>
          <w:p>
            <w:pPr>
              <w:spacing w:after="0"/>
            </w:pPr>
            <w:r/>
            <w:r>
              <w:rPr>
                <w:b/>
              </w:rPr>
              <w:t>Req.</w:t>
            </w:r>
          </w:p>
        </w:tc>
        <w:tc>
          <w:tcPr>
            <w:tcW w:type="dxa" w:w="2045"/>
            <w:vAlign w:val="center"/>
            <w:shd w:fill="E2E8F0"/>
          </w:tcPr>
          <w:p>
            <w:pPr>
              <w:spacing w:after="0"/>
            </w:pPr>
            <w:r/>
            <w:r>
              <w:rPr>
                <w:b/>
              </w:rPr>
              <w:t>Validation</w:t>
            </w:r>
          </w:p>
        </w:tc>
        <w:tc>
          <w:tcPr>
            <w:tcW w:type="dxa" w:w="2045"/>
            <w:vAlign w:val="center"/>
            <w:shd w:fill="E2E8F0"/>
          </w:tcPr>
          <w:p>
            <w:pPr>
              <w:spacing w:after="0"/>
            </w:pPr>
            <w:r/>
            <w:r>
              <w:rPr>
                <w:b/>
              </w:rPr>
              <w:t>Meaning</w:t>
            </w:r>
          </w:p>
        </w:tc>
      </w:tr>
      <w:tr>
        <w:tc>
          <w:tcPr>
            <w:tcW w:type="dxa" w:w="2045"/>
            <w:vAlign w:val="center"/>
          </w:tcPr>
          <w:p>
            <w:pPr>
              <w:spacing w:after="0"/>
            </w:pPr>
            <w:r/>
            <w:r>
              <w:rPr>
                <w:b w:val="0"/>
              </w:rPr>
              <w:t>incident_id</w:t>
            </w:r>
          </w:p>
        </w:tc>
        <w:tc>
          <w:tcPr>
            <w:tcW w:type="dxa" w:w="2045"/>
            <w:vAlign w:val="center"/>
          </w:tcPr>
          <w:p>
            <w:pPr>
              <w:spacing w:after="0"/>
            </w:pPr>
            <w:r/>
            <w:r>
              <w:rPr>
                <w:b w:val="0"/>
              </w:rPr>
              <w:t>string</w:t>
            </w:r>
          </w:p>
        </w:tc>
        <w:tc>
          <w:tcPr>
            <w:tcW w:type="dxa" w:w="2045"/>
            <w:vAlign w:val="center"/>
          </w:tcPr>
          <w:p>
            <w:pPr>
              <w:spacing w:after="0"/>
            </w:pPr>
            <w:r/>
            <w:r>
              <w:rPr>
                <w:b w:val="0"/>
              </w:rPr>
              <w:t>Required</w:t>
            </w:r>
          </w:p>
        </w:tc>
        <w:tc>
          <w:tcPr>
            <w:tcW w:type="dxa" w:w="2045"/>
            <w:vAlign w:val="center"/>
          </w:tcPr>
          <w:p>
            <w:pPr>
              <w:spacing w:after="0"/>
            </w:pPr>
            <w:r/>
            <w:r>
              <w:rPr>
                <w:b w:val="0"/>
              </w:rPr>
              <w:t>Non-empty</w:t>
            </w:r>
          </w:p>
        </w:tc>
        <w:tc>
          <w:tcPr>
            <w:tcW w:type="dxa" w:w="2045"/>
            <w:vAlign w:val="center"/>
          </w:tcPr>
          <w:p>
            <w:pPr>
              <w:spacing w:after="0"/>
            </w:pPr>
            <w:r/>
            <w:r>
              <w:rPr>
                <w:b w:val="0"/>
              </w:rPr>
              <w:t>Identifier of the spill incident being assessed.</w:t>
            </w:r>
          </w:p>
        </w:tc>
      </w:tr>
      <w:tr>
        <w:tc>
          <w:tcPr>
            <w:tcW w:type="dxa" w:w="2045"/>
            <w:vAlign w:val="center"/>
          </w:tcPr>
          <w:p>
            <w:pPr>
              <w:spacing w:after="0"/>
            </w:pPr>
            <w:r/>
            <w:r>
              <w:rPr>
                <w:b w:val="0"/>
              </w:rPr>
              <w:t>mmsi</w:t>
            </w:r>
          </w:p>
        </w:tc>
        <w:tc>
          <w:tcPr>
            <w:tcW w:type="dxa" w:w="2045"/>
            <w:vAlign w:val="center"/>
          </w:tcPr>
          <w:p>
            <w:pPr>
              <w:spacing w:after="0"/>
            </w:pPr>
            <w:r/>
            <w:r>
              <w:rPr>
                <w:b w:val="0"/>
              </w:rPr>
              <w:t>string</w:t>
            </w:r>
          </w:p>
        </w:tc>
        <w:tc>
          <w:tcPr>
            <w:tcW w:type="dxa" w:w="2045"/>
            <w:vAlign w:val="center"/>
          </w:tcPr>
          <w:p>
            <w:pPr>
              <w:spacing w:after="0"/>
            </w:pPr>
            <w:r/>
            <w:r>
              <w:rPr>
                <w:b w:val="0"/>
              </w:rPr>
              <w:t>Required</w:t>
            </w:r>
          </w:p>
        </w:tc>
        <w:tc>
          <w:tcPr>
            <w:tcW w:type="dxa" w:w="2045"/>
            <w:vAlign w:val="center"/>
          </w:tcPr>
          <w:p>
            <w:pPr>
              <w:spacing w:after="0"/>
            </w:pPr>
            <w:r/>
            <w:r>
              <w:rPr>
                <w:b w:val="0"/>
              </w:rPr>
              <w:t>Exactly 9 digits</w:t>
            </w:r>
          </w:p>
        </w:tc>
        <w:tc>
          <w:tcPr>
            <w:tcW w:type="dxa" w:w="2045"/>
            <w:vAlign w:val="center"/>
          </w:tcPr>
          <w:p>
            <w:pPr>
              <w:spacing w:after="0"/>
            </w:pPr>
            <w:r/>
            <w:r>
              <w:rPr>
                <w:b w:val="0"/>
              </w:rPr>
              <w:t>MMSI of the vessel being assessed.</w:t>
            </w:r>
          </w:p>
        </w:tc>
      </w:tr>
      <w:tr>
        <w:tc>
          <w:tcPr>
            <w:tcW w:type="dxa" w:w="2045"/>
            <w:vAlign w:val="center"/>
          </w:tcPr>
          <w:p>
            <w:pPr>
              <w:spacing w:after="0"/>
            </w:pPr>
            <w:r/>
            <w:r>
              <w:rPr>
                <w:b w:val="0"/>
              </w:rPr>
              <w:t>overall_score</w:t>
            </w:r>
          </w:p>
        </w:tc>
        <w:tc>
          <w:tcPr>
            <w:tcW w:type="dxa" w:w="2045"/>
            <w:vAlign w:val="center"/>
          </w:tcPr>
          <w:p>
            <w:pPr>
              <w:spacing w:after="0"/>
            </w:pPr>
            <w:r/>
            <w:r>
              <w:rPr>
                <w:b w:val="0"/>
              </w:rPr>
              <w:t>float</w:t>
            </w:r>
          </w:p>
        </w:tc>
        <w:tc>
          <w:tcPr>
            <w:tcW w:type="dxa" w:w="2045"/>
            <w:vAlign w:val="center"/>
          </w:tcPr>
          <w:p>
            <w:pPr>
              <w:spacing w:after="0"/>
            </w:pPr>
            <w:r/>
            <w:r>
              <w:rPr>
                <w:b w:val="0"/>
              </w:rPr>
              <w:t>Required</w:t>
            </w:r>
          </w:p>
        </w:tc>
        <w:tc>
          <w:tcPr>
            <w:tcW w:type="dxa" w:w="2045"/>
            <w:vAlign w:val="center"/>
          </w:tcPr>
          <w:p>
            <w:pPr>
              <w:spacing w:after="0"/>
            </w:pPr>
            <w:r/>
            <w:r>
              <w:rPr>
                <w:b w:val="0"/>
              </w:rPr>
              <w:t>0-100; equals sum of contributions</w:t>
            </w:r>
          </w:p>
        </w:tc>
        <w:tc>
          <w:tcPr>
            <w:tcW w:type="dxa" w:w="2045"/>
            <w:vAlign w:val="center"/>
          </w:tcPr>
          <w:p>
            <w:pPr>
              <w:spacing w:after="0"/>
            </w:pPr>
            <w:r/>
            <w:r>
              <w:rPr>
                <w:b w:val="0"/>
              </w:rPr>
              <w:t>Overall evidence-based compatibility score.</w:t>
            </w:r>
          </w:p>
        </w:tc>
      </w:tr>
      <w:tr>
        <w:tc>
          <w:tcPr>
            <w:tcW w:type="dxa" w:w="2045"/>
            <w:vAlign w:val="center"/>
          </w:tcPr>
          <w:p>
            <w:pPr>
              <w:spacing w:after="0"/>
            </w:pPr>
            <w:r/>
            <w:r>
              <w:rPr>
                <w:b w:val="0"/>
              </w:rPr>
              <w:t>rank</w:t>
            </w:r>
          </w:p>
        </w:tc>
        <w:tc>
          <w:tcPr>
            <w:tcW w:type="dxa" w:w="2045"/>
            <w:vAlign w:val="center"/>
          </w:tcPr>
          <w:p>
            <w:pPr>
              <w:spacing w:after="0"/>
            </w:pPr>
            <w:r/>
            <w:r>
              <w:rPr>
                <w:b w:val="0"/>
              </w:rPr>
              <w:t>integer</w:t>
            </w:r>
          </w:p>
        </w:tc>
        <w:tc>
          <w:tcPr>
            <w:tcW w:type="dxa" w:w="2045"/>
            <w:vAlign w:val="center"/>
          </w:tcPr>
          <w:p>
            <w:pPr>
              <w:spacing w:after="0"/>
            </w:pPr>
            <w:r/>
            <w:r>
              <w:rPr>
                <w:b w:val="0"/>
              </w:rPr>
              <w:t>Required</w:t>
            </w:r>
          </w:p>
        </w:tc>
        <w:tc>
          <w:tcPr>
            <w:tcW w:type="dxa" w:w="2045"/>
            <w:vAlign w:val="center"/>
          </w:tcPr>
          <w:p>
            <w:pPr>
              <w:spacing w:after="0"/>
            </w:pPr>
            <w:r/>
            <w:r>
              <w:rPr>
                <w:b w:val="0"/>
              </w:rPr>
              <w:t>≥ 1</w:t>
            </w:r>
          </w:p>
        </w:tc>
        <w:tc>
          <w:tcPr>
            <w:tcW w:type="dxa" w:w="2045"/>
            <w:vAlign w:val="center"/>
          </w:tcPr>
          <w:p>
            <w:pPr>
              <w:spacing w:after="0"/>
            </w:pPr>
            <w:r/>
            <w:r>
              <w:rPr>
                <w:b w:val="0"/>
              </w:rPr>
              <w:t>Rank among vessels evaluated for the same incident.</w:t>
            </w:r>
          </w:p>
        </w:tc>
      </w:tr>
      <w:tr>
        <w:tc>
          <w:tcPr>
            <w:tcW w:type="dxa" w:w="2045"/>
            <w:vAlign w:val="center"/>
          </w:tcPr>
          <w:p>
            <w:pPr>
              <w:spacing w:after="0"/>
            </w:pPr>
            <w:r/>
            <w:r>
              <w:rPr>
                <w:b w:val="0"/>
              </w:rPr>
              <w:t>evidence_breakdown</w:t>
            </w:r>
          </w:p>
        </w:tc>
        <w:tc>
          <w:tcPr>
            <w:tcW w:type="dxa" w:w="2045"/>
            <w:vAlign w:val="center"/>
          </w:tcPr>
          <w:p>
            <w:pPr>
              <w:spacing w:after="0"/>
            </w:pPr>
            <w:r/>
            <w:r>
              <w:rPr>
                <w:b w:val="0"/>
              </w:rPr>
              <w:t>EvidenceBreakdown</w:t>
            </w:r>
          </w:p>
        </w:tc>
        <w:tc>
          <w:tcPr>
            <w:tcW w:type="dxa" w:w="2045"/>
            <w:vAlign w:val="center"/>
          </w:tcPr>
          <w:p>
            <w:pPr>
              <w:spacing w:after="0"/>
            </w:pPr>
            <w:r/>
            <w:r>
              <w:rPr>
                <w:b w:val="0"/>
              </w:rPr>
              <w:t>Required</w:t>
            </w:r>
          </w:p>
        </w:tc>
        <w:tc>
          <w:tcPr>
            <w:tcW w:type="dxa" w:w="2045"/>
            <w:vAlign w:val="center"/>
          </w:tcPr>
          <w:p>
            <w:pPr>
              <w:spacing w:after="0"/>
            </w:pPr>
            <w:r/>
            <w:r>
              <w:rPr>
                <w:b w:val="0"/>
              </w:rPr>
              <w:t>Five evidence categories; weights sum to 1</w:t>
            </w:r>
          </w:p>
        </w:tc>
        <w:tc>
          <w:tcPr>
            <w:tcW w:type="dxa" w:w="2045"/>
            <w:vAlign w:val="center"/>
          </w:tcPr>
          <w:p>
            <w:pPr>
              <w:spacing w:after="0"/>
            </w:pPr>
            <w:r/>
            <w:r>
              <w:rPr>
                <w:b w:val="0"/>
              </w:rPr>
              <w:t>Structured explanation of the score.</w:t>
            </w:r>
          </w:p>
        </w:tc>
      </w:tr>
      <w:tr>
        <w:tc>
          <w:tcPr>
            <w:tcW w:type="dxa" w:w="2045"/>
            <w:vAlign w:val="center"/>
          </w:tcPr>
          <w:p>
            <w:pPr>
              <w:spacing w:after="0"/>
            </w:pPr>
            <w:r/>
            <w:r>
              <w:rPr>
                <w:b w:val="0"/>
              </w:rPr>
              <w:t>matched_source_regions</w:t>
            </w:r>
          </w:p>
        </w:tc>
        <w:tc>
          <w:tcPr>
            <w:tcW w:type="dxa" w:w="2045"/>
            <w:vAlign w:val="center"/>
          </w:tcPr>
          <w:p>
            <w:pPr>
              <w:spacing w:after="0"/>
            </w:pPr>
            <w:r/>
            <w:r>
              <w:rPr>
                <w:b w:val="0"/>
              </w:rPr>
              <w:t>SourceRegionMatch[]</w:t>
            </w:r>
          </w:p>
        </w:tc>
        <w:tc>
          <w:tcPr>
            <w:tcW w:type="dxa" w:w="2045"/>
            <w:vAlign w:val="center"/>
          </w:tcPr>
          <w:p>
            <w:pPr>
              <w:spacing w:after="0"/>
            </w:pPr>
            <w:r/>
            <w:r>
              <w:rPr>
                <w:b w:val="0"/>
              </w:rPr>
              <w:t>Optional</w:t>
            </w:r>
          </w:p>
        </w:tc>
        <w:tc>
          <w:tcPr>
            <w:tcW w:type="dxa" w:w="2045"/>
            <w:vAlign w:val="center"/>
          </w:tcPr>
          <w:p>
            <w:pPr>
              <w:spacing w:after="0"/>
            </w:pPr>
            <w:r/>
            <w:r>
              <w:rPr>
                <w:b w:val="0"/>
              </w:rPr>
              <w:t>Defaults to []</w:t>
            </w:r>
          </w:p>
        </w:tc>
        <w:tc>
          <w:tcPr>
            <w:tcW w:type="dxa" w:w="2045"/>
            <w:vAlign w:val="center"/>
          </w:tcPr>
          <w:p>
            <w:pPr>
              <w:spacing w:after="0"/>
            </w:pPr>
            <w:r/>
            <w:r>
              <w:rPr>
                <w:b w:val="0"/>
              </w:rPr>
              <w:t>References to candidate source regions compatible with the vessel.</w:t>
            </w:r>
          </w:p>
        </w:tc>
      </w:tr>
    </w:tbl>
    <w:p>
      <w:pPr>
        <w:pStyle w:val="Heading1"/>
      </w:pPr>
      <w:r>
        <w:t>5. EvidenceScore</w:t>
      </w:r>
    </w:p>
    <w:p>
      <w:pPr/>
      <w:r>
        <w:t>EvidenceScore is the reusable unit for one attribution evidence dimension. It intentionally separates a normalized evidence score from its project-defined weight and the resulting weighted contribution. This makes the final score auditable and allows the frontend to explain which evidence dimensions mattered most.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2E8F0"/>
          </w:tcPr>
          <w:p>
            <w:pPr>
              <w:spacing w:after="0"/>
            </w:pPr>
            <w:r/>
            <w:r>
              <w:rPr>
                <w:b/>
              </w:rPr>
              <w:t>Field</w:t>
            </w:r>
          </w:p>
        </w:tc>
        <w:tc>
          <w:tcPr>
            <w:tcW w:type="dxa" w:w="2045"/>
            <w:vAlign w:val="center"/>
            <w:shd w:fill="E2E8F0"/>
          </w:tcPr>
          <w:p>
            <w:pPr>
              <w:spacing w:after="0"/>
            </w:pPr>
            <w:r/>
            <w:r>
              <w:rPr>
                <w:b/>
              </w:rPr>
              <w:t>Type</w:t>
            </w:r>
          </w:p>
        </w:tc>
        <w:tc>
          <w:tcPr>
            <w:tcW w:type="dxa" w:w="2045"/>
            <w:vAlign w:val="center"/>
            <w:shd w:fill="E2E8F0"/>
          </w:tcPr>
          <w:p>
            <w:pPr>
              <w:spacing w:after="0"/>
            </w:pPr>
            <w:r/>
            <w:r>
              <w:rPr>
                <w:b/>
              </w:rPr>
              <w:t>Req.</w:t>
            </w:r>
          </w:p>
        </w:tc>
        <w:tc>
          <w:tcPr>
            <w:tcW w:type="dxa" w:w="2045"/>
            <w:vAlign w:val="center"/>
            <w:shd w:fill="E2E8F0"/>
          </w:tcPr>
          <w:p>
            <w:pPr>
              <w:spacing w:after="0"/>
            </w:pPr>
            <w:r/>
            <w:r>
              <w:rPr>
                <w:b/>
              </w:rPr>
              <w:t>Validation</w:t>
            </w:r>
          </w:p>
        </w:tc>
        <w:tc>
          <w:tcPr>
            <w:tcW w:type="dxa" w:w="2045"/>
            <w:vAlign w:val="center"/>
            <w:shd w:fill="E2E8F0"/>
          </w:tcPr>
          <w:p>
            <w:pPr>
              <w:spacing w:after="0"/>
            </w:pPr>
            <w:r/>
            <w:r>
              <w:rPr>
                <w:b/>
              </w:rPr>
              <w:t>Meaning</w:t>
            </w:r>
          </w:p>
        </w:tc>
      </w:tr>
      <w:tr>
        <w:tc>
          <w:tcPr>
            <w:tcW w:type="dxa" w:w="2045"/>
            <w:vAlign w:val="center"/>
          </w:tcPr>
          <w:p>
            <w:pPr>
              <w:spacing w:after="0"/>
            </w:pPr>
            <w:r/>
            <w:r>
              <w:rPr>
                <w:b w:val="0"/>
              </w:rPr>
              <w:t>score</w:t>
            </w:r>
          </w:p>
        </w:tc>
        <w:tc>
          <w:tcPr>
            <w:tcW w:type="dxa" w:w="2045"/>
            <w:vAlign w:val="center"/>
          </w:tcPr>
          <w:p>
            <w:pPr>
              <w:spacing w:after="0"/>
            </w:pPr>
            <w:r/>
            <w:r>
              <w:rPr>
                <w:b w:val="0"/>
              </w:rPr>
              <w:t>float</w:t>
            </w:r>
          </w:p>
        </w:tc>
        <w:tc>
          <w:tcPr>
            <w:tcW w:type="dxa" w:w="2045"/>
            <w:vAlign w:val="center"/>
          </w:tcPr>
          <w:p>
            <w:pPr>
              <w:spacing w:after="0"/>
            </w:pPr>
            <w:r/>
            <w:r>
              <w:rPr>
                <w:b w:val="0"/>
              </w:rPr>
              <w:t>Required</w:t>
            </w:r>
          </w:p>
        </w:tc>
        <w:tc>
          <w:tcPr>
            <w:tcW w:type="dxa" w:w="2045"/>
            <w:vAlign w:val="center"/>
          </w:tcPr>
          <w:p>
            <w:pPr>
              <w:spacing w:after="0"/>
            </w:pPr>
            <w:r/>
            <w:r>
              <w:rPr>
                <w:b w:val="0"/>
              </w:rPr>
              <w:t>0 ≤ value ≤ 100</w:t>
            </w:r>
          </w:p>
        </w:tc>
        <w:tc>
          <w:tcPr>
            <w:tcW w:type="dxa" w:w="2045"/>
            <w:vAlign w:val="center"/>
          </w:tcPr>
          <w:p>
            <w:pPr>
              <w:spacing w:after="0"/>
            </w:pPr>
            <w:r/>
            <w:r>
              <w:rPr>
                <w:b w:val="0"/>
              </w:rPr>
              <w:t>Strength of this evidence dimension. This is a compatibility score, not a probability.</w:t>
            </w:r>
          </w:p>
        </w:tc>
      </w:tr>
      <w:tr>
        <w:tc>
          <w:tcPr>
            <w:tcW w:type="dxa" w:w="2045"/>
            <w:vAlign w:val="center"/>
          </w:tcPr>
          <w:p>
            <w:pPr>
              <w:spacing w:after="0"/>
            </w:pPr>
            <w:r/>
            <w:r>
              <w:rPr>
                <w:b w:val="0"/>
              </w:rPr>
              <w:t>weight</w:t>
            </w:r>
          </w:p>
        </w:tc>
        <w:tc>
          <w:tcPr>
            <w:tcW w:type="dxa" w:w="2045"/>
            <w:vAlign w:val="center"/>
          </w:tcPr>
          <w:p>
            <w:pPr>
              <w:spacing w:after="0"/>
            </w:pPr>
            <w:r/>
            <w:r>
              <w:rPr>
                <w:b w:val="0"/>
              </w:rPr>
              <w:t>float</w:t>
            </w:r>
          </w:p>
        </w:tc>
        <w:tc>
          <w:tcPr>
            <w:tcW w:type="dxa" w:w="2045"/>
            <w:vAlign w:val="center"/>
          </w:tcPr>
          <w:p>
            <w:pPr>
              <w:spacing w:after="0"/>
            </w:pPr>
            <w:r/>
            <w:r>
              <w:rPr>
                <w:b w:val="0"/>
              </w:rPr>
              <w:t>Required</w:t>
            </w:r>
          </w:p>
        </w:tc>
        <w:tc>
          <w:tcPr>
            <w:tcW w:type="dxa" w:w="2045"/>
            <w:vAlign w:val="center"/>
          </w:tcPr>
          <w:p>
            <w:pPr>
              <w:spacing w:after="0"/>
            </w:pPr>
            <w:r/>
            <w:r>
              <w:rPr>
                <w:b w:val="0"/>
              </w:rPr>
              <w:t>0 ≤ value ≤ 1</w:t>
            </w:r>
          </w:p>
        </w:tc>
        <w:tc>
          <w:tcPr>
            <w:tcW w:type="dxa" w:w="2045"/>
            <w:vAlign w:val="center"/>
          </w:tcPr>
          <w:p>
            <w:pPr>
              <w:spacing w:after="0"/>
            </w:pPr>
            <w:r/>
            <w:r>
              <w:rPr>
                <w:b w:val="0"/>
              </w:rPr>
              <w:t>Relative importance of this evidence dimension in the overall score.</w:t>
            </w:r>
          </w:p>
        </w:tc>
      </w:tr>
      <w:tr>
        <w:tc>
          <w:tcPr>
            <w:tcW w:type="dxa" w:w="2045"/>
            <w:vAlign w:val="center"/>
          </w:tcPr>
          <w:p>
            <w:pPr>
              <w:spacing w:after="0"/>
            </w:pPr>
            <w:r/>
            <w:r>
              <w:rPr>
                <w:b w:val="0"/>
              </w:rPr>
              <w:t>contribution</w:t>
            </w:r>
          </w:p>
        </w:tc>
        <w:tc>
          <w:tcPr>
            <w:tcW w:type="dxa" w:w="2045"/>
            <w:vAlign w:val="center"/>
          </w:tcPr>
          <w:p>
            <w:pPr>
              <w:spacing w:after="0"/>
            </w:pPr>
            <w:r/>
            <w:r>
              <w:rPr>
                <w:b w:val="0"/>
              </w:rPr>
              <w:t>float</w:t>
            </w:r>
          </w:p>
        </w:tc>
        <w:tc>
          <w:tcPr>
            <w:tcW w:type="dxa" w:w="2045"/>
            <w:vAlign w:val="center"/>
          </w:tcPr>
          <w:p>
            <w:pPr>
              <w:spacing w:after="0"/>
            </w:pPr>
            <w:r/>
            <w:r>
              <w:rPr>
                <w:b w:val="0"/>
              </w:rPr>
              <w:t>Required</w:t>
            </w:r>
          </w:p>
        </w:tc>
        <w:tc>
          <w:tcPr>
            <w:tcW w:type="dxa" w:w="2045"/>
            <w:vAlign w:val="center"/>
          </w:tcPr>
          <w:p>
            <w:pPr>
              <w:spacing w:after="0"/>
            </w:pPr>
            <w:r/>
            <w:r>
              <w:rPr>
                <w:b w:val="0"/>
              </w:rPr>
              <w:t>0 ≤ value ≤ 100; contribution = score x weight</w:t>
            </w:r>
          </w:p>
        </w:tc>
        <w:tc>
          <w:tcPr>
            <w:tcW w:type="dxa" w:w="2045"/>
            <w:vAlign w:val="center"/>
          </w:tcPr>
          <w:p>
            <w:pPr>
              <w:spacing w:after="0"/>
            </w:pPr>
            <w:r/>
            <w:r>
              <w:rPr>
                <w:b w:val="0"/>
              </w:rPr>
              <w:t>Weighted contribution to the overall attribution score.</w:t>
            </w:r>
          </w:p>
        </w:tc>
      </w:tr>
      <w:tr>
        <w:tc>
          <w:tcPr>
            <w:tcW w:type="dxa" w:w="2045"/>
            <w:vAlign w:val="center"/>
          </w:tcPr>
          <w:p>
            <w:pPr>
              <w:spacing w:after="0"/>
            </w:pPr>
            <w:r/>
            <w:r>
              <w:rPr>
                <w:b w:val="0"/>
              </w:rPr>
              <w:t>explanation</w:t>
            </w:r>
          </w:p>
        </w:tc>
        <w:tc>
          <w:tcPr>
            <w:tcW w:type="dxa" w:w="2045"/>
            <w:vAlign w:val="center"/>
          </w:tcPr>
          <w:p>
            <w:pPr>
              <w:spacing w:after="0"/>
            </w:pPr>
            <w:r/>
            <w:r>
              <w:rPr>
                <w:b w:val="0"/>
              </w:rPr>
              <w:t>string</w:t>
            </w:r>
          </w:p>
        </w:tc>
        <w:tc>
          <w:tcPr>
            <w:tcW w:type="dxa" w:w="2045"/>
            <w:vAlign w:val="center"/>
          </w:tcPr>
          <w:p>
            <w:pPr>
              <w:spacing w:after="0"/>
            </w:pPr>
            <w:r/>
            <w:r>
              <w:rPr>
                <w:b w:val="0"/>
              </w:rPr>
              <w:t>Required</w:t>
            </w:r>
          </w:p>
        </w:tc>
        <w:tc>
          <w:tcPr>
            <w:tcW w:type="dxa" w:w="2045"/>
            <w:vAlign w:val="center"/>
          </w:tcPr>
          <w:p>
            <w:pPr>
              <w:spacing w:after="0"/>
            </w:pPr>
            <w:r/>
            <w:r>
              <w:rPr>
                <w:b w:val="0"/>
              </w:rPr>
              <w:t>Non-empty</w:t>
            </w:r>
          </w:p>
        </w:tc>
        <w:tc>
          <w:tcPr>
            <w:tcW w:type="dxa" w:w="2045"/>
            <w:vAlign w:val="center"/>
          </w:tcPr>
          <w:p>
            <w:pPr>
              <w:spacing w:after="0"/>
            </w:pPr>
            <w:r/>
            <w:r>
              <w:rPr>
                <w:b w:val="0"/>
              </w:rPr>
              <w:t>Human-readable reason supporting the score.</w:t>
            </w:r>
          </w:p>
        </w:tc>
      </w:tr>
    </w:tbl>
    <w:p>
      <w:pPr>
        <w:pStyle w:val="CodeBlock"/>
        <w:spacing w:after="80"/>
        <w:ind w:left="288"/>
      </w:pPr>
      <w:r>
        <w:t>class EvidenceScore(BaseModel):</w:t>
        <w:br/>
        <w:t xml:space="preserve">    score: float = Field(..., ge=0, le=100)</w:t>
        <w:br/>
        <w:t xml:space="preserve">    weight: float = Field(..., ge=0, le=1)</w:t>
        <w:br/>
        <w:t xml:space="preserve">    contribution: float = Field(..., ge=0, le=100)</w:t>
        <w:br/>
        <w:t xml:space="preserve">    explanation: str</w:t>
      </w:r>
    </w:p>
    <w:p>
      <w:pPr/>
      <w:r>
        <w:t>Contract rule: contribution is derived by the attribution engine from score x weight. The Pydantic model validates consistency rather than trusting caller-supplied arithmetic.</w:t>
      </w:r>
    </w:p>
    <w:p>
      <w:pPr>
        <w:pStyle w:val="Heading1"/>
      </w:pPr>
      <w:r>
        <w:t>6. EvidenceBreakdown</w:t>
      </w:r>
    </w:p>
    <w:p>
      <w:pPr/>
      <w:r>
        <w:t>EvidenceBreakdown contains the five evidence dimensions used by the current MVP. These categories are our proposed design. The exact mathematical functions that turn raw evidence into a 0-100 score are implementation decisions and should be calibrated against the team benchmark.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2E8F0"/>
          </w:tcPr>
          <w:p>
            <w:pPr>
              <w:spacing w:after="0"/>
            </w:pPr>
            <w:r/>
            <w:r>
              <w:rPr>
                <w:b/>
              </w:rPr>
              <w:t>Evidence type</w:t>
            </w:r>
          </w:p>
        </w:tc>
        <w:tc>
          <w:tcPr>
            <w:tcW w:type="dxa" w:w="3408"/>
            <w:vAlign w:val="center"/>
            <w:shd w:fill="E2E8F0"/>
          </w:tcPr>
          <w:p>
            <w:pPr>
              <w:spacing w:after="0"/>
            </w:pPr>
            <w:r/>
            <w:r>
              <w:rPr>
                <w:b/>
              </w:rPr>
              <w:t>Core question</w:t>
            </w:r>
          </w:p>
        </w:tc>
        <w:tc>
          <w:tcPr>
            <w:tcW w:type="dxa" w:w="3408"/>
            <w:vAlign w:val="center"/>
            <w:shd w:fill="E2E8F0"/>
          </w:tcPr>
          <w:p>
            <w:pPr>
              <w:spacing w:after="0"/>
            </w:pPr>
            <w:r/>
            <w:r>
              <w:rPr>
                <w:b/>
              </w:rPr>
              <w:t>Typical supporting signal</w:t>
            </w:r>
          </w:p>
        </w:tc>
      </w:tr>
      <w:tr>
        <w:tc>
          <w:tcPr>
            <w:tcW w:type="dxa" w:w="3408"/>
            <w:vAlign w:val="center"/>
          </w:tcPr>
          <w:p>
            <w:pPr>
              <w:spacing w:after="0"/>
            </w:pPr>
            <w:r/>
            <w:r>
              <w:rPr>
                <w:b w:val="0"/>
              </w:rPr>
              <w:t>spatial</w:t>
            </w:r>
          </w:p>
        </w:tc>
        <w:tc>
          <w:tcPr>
            <w:tcW w:type="dxa" w:w="3408"/>
            <w:vAlign w:val="center"/>
          </w:tcPr>
          <w:p>
            <w:pPr>
              <w:spacing w:after="0"/>
            </w:pPr>
            <w:r/>
            <w:r>
              <w:rPr>
                <w:b w:val="0"/>
              </w:rPr>
              <w:t>Was the vessel near or inside a probable source region?</w:t>
            </w:r>
          </w:p>
        </w:tc>
        <w:tc>
          <w:tcPr>
            <w:tcW w:type="dxa" w:w="3408"/>
            <w:vAlign w:val="center"/>
          </w:tcPr>
          <w:p>
            <w:pPr>
              <w:spacing w:after="0"/>
            </w:pPr>
            <w:r/>
            <w:r>
              <w:rPr>
                <w:b w:val="0"/>
              </w:rPr>
              <w:t>Minimum distance, intersection/overlap with source geometry, time-aware proximity.</w:t>
            </w:r>
          </w:p>
        </w:tc>
      </w:tr>
      <w:tr>
        <w:tc>
          <w:tcPr>
            <w:tcW w:type="dxa" w:w="3408"/>
            <w:vAlign w:val="center"/>
          </w:tcPr>
          <w:p>
            <w:pPr>
              <w:spacing w:after="0"/>
            </w:pPr>
            <w:r/>
            <w:r>
              <w:rPr>
                <w:b w:val="0"/>
              </w:rPr>
              <w:t>temporal</w:t>
            </w:r>
          </w:p>
        </w:tc>
        <w:tc>
          <w:tcPr>
            <w:tcW w:type="dxa" w:w="3408"/>
            <w:vAlign w:val="center"/>
          </w:tcPr>
          <w:p>
            <w:pPr>
              <w:spacing w:after="0"/>
            </w:pPr>
            <w:r/>
            <w:r>
              <w:rPr>
                <w:b w:val="0"/>
              </w:rPr>
              <w:t>Was the vessel present during the candidate release window?</w:t>
            </w:r>
          </w:p>
        </w:tc>
        <w:tc>
          <w:tcPr>
            <w:tcW w:type="dxa" w:w="3408"/>
            <w:vAlign w:val="center"/>
          </w:tcPr>
          <w:p>
            <w:pPr>
              <w:spacing w:after="0"/>
            </w:pPr>
            <w:r/>
            <w:r>
              <w:rPr>
                <w:b w:val="0"/>
              </w:rPr>
              <w:t>Track overlap with start/end times of source candidates.</w:t>
            </w:r>
          </w:p>
        </w:tc>
      </w:tr>
      <w:tr>
        <w:tc>
          <w:tcPr>
            <w:tcW w:type="dxa" w:w="3408"/>
            <w:vAlign w:val="center"/>
          </w:tcPr>
          <w:p>
            <w:pPr>
              <w:spacing w:after="0"/>
            </w:pPr>
            <w:r/>
            <w:r>
              <w:rPr>
                <w:b w:val="0"/>
              </w:rPr>
              <w:t>trajectory</w:t>
            </w:r>
          </w:p>
        </w:tc>
        <w:tc>
          <w:tcPr>
            <w:tcW w:type="dxa" w:w="3408"/>
            <w:vAlign w:val="center"/>
          </w:tcPr>
          <w:p>
            <w:pPr>
              <w:spacing w:after="0"/>
            </w:pPr>
            <w:r/>
            <w:r>
              <w:rPr>
                <w:b w:val="0"/>
              </w:rPr>
              <w:t>Does vessel movement fit the reconstructed spill/source relationship?</w:t>
            </w:r>
          </w:p>
        </w:tc>
        <w:tc>
          <w:tcPr>
            <w:tcW w:type="dxa" w:w="3408"/>
            <w:vAlign w:val="center"/>
          </w:tcPr>
          <w:p>
            <w:pPr>
              <w:spacing w:after="0"/>
            </w:pPr>
            <w:r/>
            <w:r>
              <w:rPr>
                <w:b w:val="0"/>
              </w:rPr>
              <w:t>Course, heading, track direction and spatial relationship to the reconstructed movement.</w:t>
            </w:r>
          </w:p>
        </w:tc>
      </w:tr>
      <w:tr>
        <w:tc>
          <w:tcPr>
            <w:tcW w:type="dxa" w:w="3408"/>
            <w:vAlign w:val="center"/>
          </w:tcPr>
          <w:p>
            <w:pPr>
              <w:spacing w:after="0"/>
            </w:pPr>
            <w:r/>
            <w:r>
              <w:rPr>
                <w:b w:val="0"/>
              </w:rPr>
              <w:t>source_probability</w:t>
            </w:r>
          </w:p>
        </w:tc>
        <w:tc>
          <w:tcPr>
            <w:tcW w:type="dxa" w:w="3408"/>
            <w:vAlign w:val="center"/>
          </w:tcPr>
          <w:p>
            <w:pPr>
              <w:spacing w:after="0"/>
            </w:pPr>
            <w:r/>
            <w:r>
              <w:rPr>
                <w:b w:val="0"/>
              </w:rPr>
              <w:t>Was the vessel associated with a high-density source hypothesis?</w:t>
            </w:r>
          </w:p>
        </w:tc>
        <w:tc>
          <w:tcPr>
            <w:tcW w:type="dxa" w:w="3408"/>
            <w:vAlign w:val="center"/>
          </w:tcPr>
          <w:p>
            <w:pPr>
              <w:spacing w:after="0"/>
            </w:pPr>
            <w:r/>
            <w:r>
              <w:rPr>
                <w:b w:val="0"/>
              </w:rPr>
              <w:t>Particle-density-derived probability of matched source candidate regions.</w:t>
            </w:r>
          </w:p>
        </w:tc>
      </w:tr>
      <w:tr>
        <w:tc>
          <w:tcPr>
            <w:tcW w:type="dxa" w:w="3408"/>
            <w:vAlign w:val="center"/>
          </w:tcPr>
          <w:p>
            <w:pPr>
              <w:spacing w:after="0"/>
            </w:pPr>
            <w:r/>
            <w:r>
              <w:rPr>
                <w:b w:val="0"/>
              </w:rPr>
              <w:t>ais_anomaly</w:t>
            </w:r>
          </w:p>
        </w:tc>
        <w:tc>
          <w:tcPr>
            <w:tcW w:type="dxa" w:w="3408"/>
            <w:vAlign w:val="center"/>
          </w:tcPr>
          <w:p>
            <w:pPr>
              <w:spacing w:after="0"/>
            </w:pPr>
            <w:r/>
            <w:r>
              <w:rPr>
                <w:b w:val="0"/>
              </w:rPr>
              <w:t>Does the vessel show relevant AIS data anomalies?</w:t>
            </w:r>
          </w:p>
        </w:tc>
        <w:tc>
          <w:tcPr>
            <w:tcW w:type="dxa" w:w="3408"/>
            <w:vAlign w:val="center"/>
          </w:tcPr>
          <w:p>
            <w:pPr>
              <w:spacing w:after="0"/>
            </w:pPr>
            <w:r/>
            <w:r>
              <w:rPr>
                <w:b w:val="0"/>
              </w:rPr>
              <w:t>Inferred AIS gaps or other measured deviations; anomalies are evidence, not proof of intent.</w:t>
            </w:r>
          </w:p>
        </w:tc>
      </w:tr>
    </w:tbl>
    <w:p>
      <w:pPr>
        <w:pStyle w:val="CodeBlock"/>
        <w:spacing w:after="80"/>
        <w:ind w:left="288"/>
      </w:pPr>
      <w:r>
        <w:t>class EvidenceBreakdown(BaseModel):</w:t>
        <w:br/>
        <w:t xml:space="preserve">    spatial: EvidenceScore</w:t>
        <w:br/>
        <w:t xml:space="preserve">    temporal: EvidenceScore</w:t>
        <w:br/>
        <w:t xml:space="preserve">    trajectory: EvidenceScore</w:t>
        <w:br/>
        <w:t xml:space="preserve">    source_probability: EvidenceScore</w:t>
        <w:br/>
        <w:t xml:space="preserve">    ais_anomaly: EvidenceScore</w:t>
      </w:r>
    </w:p>
    <w:p>
      <w:pPr/>
      <w:r>
        <w:t>Weighting rule: the five weights must sum to 1.0 (within a small floating-point tolerance). A proposed MVP example is 0.30 / 0.20 / 0.20 / 0.20 / 0.10, but these values are not research-established and should remain configurable.</w:t>
      </w:r>
    </w:p>
    <w:p>
      <w:pPr>
        <w:pStyle w:val="Heading1"/>
      </w:pPr>
      <w:r>
        <w:t>7. SourceRegionMatch</w:t>
      </w:r>
    </w:p>
    <w:p>
      <w:pPr/>
      <w:r>
        <w:t>SourceRegionMatch links a vessel attribution to one candidate source region without duplicating the source-region geometry or probability. The candidate region already owns its particle-density-derived source probability; the match records how compatible the vessel is with that specific hypothesis.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2E8F0"/>
          </w:tcPr>
          <w:p>
            <w:pPr>
              <w:spacing w:after="0"/>
            </w:pPr>
            <w:r/>
            <w:r>
              <w:rPr>
                <w:b/>
              </w:rPr>
              <w:t>Field</w:t>
            </w:r>
          </w:p>
        </w:tc>
        <w:tc>
          <w:tcPr>
            <w:tcW w:type="dxa" w:w="2045"/>
            <w:vAlign w:val="center"/>
            <w:shd w:fill="E2E8F0"/>
          </w:tcPr>
          <w:p>
            <w:pPr>
              <w:spacing w:after="0"/>
            </w:pPr>
            <w:r/>
            <w:r>
              <w:rPr>
                <w:b/>
              </w:rPr>
              <w:t>Type</w:t>
            </w:r>
          </w:p>
        </w:tc>
        <w:tc>
          <w:tcPr>
            <w:tcW w:type="dxa" w:w="2045"/>
            <w:vAlign w:val="center"/>
            <w:shd w:fill="E2E8F0"/>
          </w:tcPr>
          <w:p>
            <w:pPr>
              <w:spacing w:after="0"/>
            </w:pPr>
            <w:r/>
            <w:r>
              <w:rPr>
                <w:b/>
              </w:rPr>
              <w:t>Req.</w:t>
            </w:r>
          </w:p>
        </w:tc>
        <w:tc>
          <w:tcPr>
            <w:tcW w:type="dxa" w:w="2045"/>
            <w:vAlign w:val="center"/>
            <w:shd w:fill="E2E8F0"/>
          </w:tcPr>
          <w:p>
            <w:pPr>
              <w:spacing w:after="0"/>
            </w:pPr>
            <w:r/>
            <w:r>
              <w:rPr>
                <w:b/>
              </w:rPr>
              <w:t>Validation</w:t>
            </w:r>
          </w:p>
        </w:tc>
        <w:tc>
          <w:tcPr>
            <w:tcW w:type="dxa" w:w="2045"/>
            <w:vAlign w:val="center"/>
            <w:shd w:fill="E2E8F0"/>
          </w:tcPr>
          <w:p>
            <w:pPr>
              <w:spacing w:after="0"/>
            </w:pPr>
            <w:r/>
            <w:r>
              <w:rPr>
                <w:b/>
              </w:rPr>
              <w:t>Meaning</w:t>
            </w:r>
          </w:p>
        </w:tc>
      </w:tr>
      <w:tr>
        <w:tc>
          <w:tcPr>
            <w:tcW w:type="dxa" w:w="2045"/>
            <w:vAlign w:val="center"/>
          </w:tcPr>
          <w:p>
            <w:pPr>
              <w:spacing w:after="0"/>
            </w:pPr>
            <w:r/>
            <w:r>
              <w:rPr>
                <w:b w:val="0"/>
              </w:rPr>
              <w:t>source_candidate_region_id</w:t>
            </w:r>
          </w:p>
        </w:tc>
        <w:tc>
          <w:tcPr>
            <w:tcW w:type="dxa" w:w="2045"/>
            <w:vAlign w:val="center"/>
          </w:tcPr>
          <w:p>
            <w:pPr>
              <w:spacing w:after="0"/>
            </w:pPr>
            <w:r/>
            <w:r>
              <w:rPr>
                <w:b w:val="0"/>
              </w:rPr>
              <w:t>string</w:t>
            </w:r>
          </w:p>
        </w:tc>
        <w:tc>
          <w:tcPr>
            <w:tcW w:type="dxa" w:w="2045"/>
            <w:vAlign w:val="center"/>
          </w:tcPr>
          <w:p>
            <w:pPr>
              <w:spacing w:after="0"/>
            </w:pPr>
            <w:r/>
            <w:r>
              <w:rPr>
                <w:b w:val="0"/>
              </w:rPr>
              <w:t>Required</w:t>
            </w:r>
          </w:p>
        </w:tc>
        <w:tc>
          <w:tcPr>
            <w:tcW w:type="dxa" w:w="2045"/>
            <w:vAlign w:val="center"/>
          </w:tcPr>
          <w:p>
            <w:pPr>
              <w:spacing w:after="0"/>
            </w:pPr>
            <w:r/>
            <w:r>
              <w:rPr>
                <w:b w:val="0"/>
              </w:rPr>
              <w:t>Non-empty</w:t>
            </w:r>
          </w:p>
        </w:tc>
        <w:tc>
          <w:tcPr>
            <w:tcW w:type="dxa" w:w="2045"/>
            <w:vAlign w:val="center"/>
          </w:tcPr>
          <w:p>
            <w:pPr>
              <w:spacing w:after="0"/>
            </w:pPr>
            <w:r/>
            <w:r>
              <w:rPr>
                <w:b w:val="0"/>
              </w:rPr>
              <w:t>ID matching SourceRegion.candidate_regions[].id.</w:t>
            </w:r>
          </w:p>
        </w:tc>
      </w:tr>
      <w:tr>
        <w:tc>
          <w:tcPr>
            <w:tcW w:type="dxa" w:w="2045"/>
            <w:vAlign w:val="center"/>
          </w:tcPr>
          <w:p>
            <w:pPr>
              <w:spacing w:after="0"/>
            </w:pPr>
            <w:r/>
            <w:r>
              <w:rPr>
                <w:b w:val="0"/>
              </w:rPr>
              <w:t>compatibility_score</w:t>
            </w:r>
          </w:p>
        </w:tc>
        <w:tc>
          <w:tcPr>
            <w:tcW w:type="dxa" w:w="2045"/>
            <w:vAlign w:val="center"/>
          </w:tcPr>
          <w:p>
            <w:pPr>
              <w:spacing w:after="0"/>
            </w:pPr>
            <w:r/>
            <w:r>
              <w:rPr>
                <w:b w:val="0"/>
              </w:rPr>
              <w:t>float</w:t>
            </w:r>
          </w:p>
        </w:tc>
        <w:tc>
          <w:tcPr>
            <w:tcW w:type="dxa" w:w="2045"/>
            <w:vAlign w:val="center"/>
          </w:tcPr>
          <w:p>
            <w:pPr>
              <w:spacing w:after="0"/>
            </w:pPr>
            <w:r/>
            <w:r>
              <w:rPr>
                <w:b w:val="0"/>
              </w:rPr>
              <w:t>Required</w:t>
            </w:r>
          </w:p>
        </w:tc>
        <w:tc>
          <w:tcPr>
            <w:tcW w:type="dxa" w:w="2045"/>
            <w:vAlign w:val="center"/>
          </w:tcPr>
          <w:p>
            <w:pPr>
              <w:spacing w:after="0"/>
            </w:pPr>
            <w:r/>
            <w:r>
              <w:rPr>
                <w:b w:val="0"/>
              </w:rPr>
              <w:t>0 ≤ value ≤ 1</w:t>
            </w:r>
          </w:p>
        </w:tc>
        <w:tc>
          <w:tcPr>
            <w:tcW w:type="dxa" w:w="2045"/>
            <w:vAlign w:val="center"/>
          </w:tcPr>
          <w:p>
            <w:pPr>
              <w:spacing w:after="0"/>
            </w:pPr>
            <w:r/>
            <w:r>
              <w:rPr>
                <w:b w:val="0"/>
              </w:rPr>
              <w:t>Strength of compatibility between this vessel and that candidate source hypothesis.</w:t>
            </w:r>
          </w:p>
        </w:tc>
      </w:tr>
    </w:tbl>
    <w:p>
      <w:pPr>
        <w:pStyle w:val="CodeBlock"/>
        <w:spacing w:after="80"/>
        <w:ind w:left="288"/>
      </w:pPr>
      <w:r>
        <w:t>class SourceRegionMatch(BaseModel):</w:t>
        <w:br/>
        <w:t xml:space="preserve">    source_candidate_region_id: str</w:t>
        <w:br/>
        <w:t xml:space="preserve">    compatibility_score: float = Field(..., ge=0, le=1)</w:t>
      </w:r>
    </w:p>
    <w:p>
      <w:pPr/>
      <w:r>
        <w:t>Important distinction: compatibility_score is not source probability. Source probability comes from the hindcast particle-density distribution. Compatibility score measures the vessel-to-source-hypothesis relationship.</w:t>
      </w:r>
    </w:p>
    <w:p>
      <w:pPr>
        <w:pStyle w:val="Heading1"/>
      </w:pPr>
      <w:r>
        <w:t>8. Canonical Attribution JSON</w:t>
      </w:r>
    </w:p>
    <w:p>
      <w:pPr>
        <w:pStyle w:val="CodeBlock"/>
        <w:spacing w:after="80"/>
        <w:ind w:left="288"/>
      </w:pPr>
      <w:r>
        <w:t>{</w:t>
        <w:br/>
        <w:t xml:space="preserve">  "incident_id": "incident_001",</w:t>
        <w:br/>
        <w:t xml:space="preserve">  "mmsi": "419001234",</w:t>
        <w:br/>
        <w:t xml:space="preserve">  "overall_score": 87.5,</w:t>
        <w:br/>
        <w:t xml:space="preserve">  "rank": 1,</w:t>
        <w:br/>
        <w:t xml:space="preserve">  "evidence_breakdown": {</w:t>
        <w:br/>
        <w:t xml:space="preserve">    "spatial": {</w:t>
        <w:br/>
        <w:t xml:space="preserve">      "score": 94,</w:t>
        <w:br/>
        <w:t xml:space="preserve">      "weight": 0.30,</w:t>
        <w:br/>
        <w:t xml:space="preserve">      "contribution": 28.2,</w:t>
        <w:br/>
        <w:t xml:space="preserve">      "explanation": "Vessel track entered a high-probability source region."</w:t>
        <w:br/>
        <w:t xml:space="preserve">    },</w:t>
        <w:br/>
        <w:t xml:space="preserve">    "temporal": {</w:t>
        <w:br/>
        <w:t xml:space="preserve">      "score": 91,</w:t>
        <w:br/>
        <w:t xml:space="preserve">      "weight": 0.20,</w:t>
        <w:br/>
        <w:t xml:space="preserve">      "contribution": 18.2,</w:t>
        <w:br/>
        <w:t xml:space="preserve">      "explanation": "Vessel was present during the estimated release window."</w:t>
        <w:br/>
        <w:t xml:space="preserve">    },</w:t>
        <w:br/>
        <w:t xml:space="preserve">    "trajectory": {</w:t>
        <w:br/>
        <w:t xml:space="preserve">      "score": 88,</w:t>
        <w:br/>
        <w:t xml:space="preserve">      "weight": 0.20,</w:t>
        <w:br/>
        <w:t xml:space="preserve">      "contribution": 17.6,</w:t>
        <w:br/>
        <w:t xml:space="preserve">      "explanation": "Vessel trajectory is compatible with reconstructed spill movement."</w:t>
        <w:br/>
        <w:t xml:space="preserve">    },</w:t>
        <w:br/>
        <w:t xml:space="preserve">    "source_probability": {</w:t>
        <w:br/>
        <w:t xml:space="preserve">      "score": 83,</w:t>
        <w:br/>
        <w:t xml:space="preserve">      "weight": 0.20,</w:t>
        <w:br/>
        <w:t xml:space="preserve">      "contribution": 16.6,</w:t>
        <w:br/>
        <w:t xml:space="preserve">      "explanation": "Vessel intersected a high-density source hypothesis."</w:t>
        <w:br/>
        <w:t xml:space="preserve">    },</w:t>
        <w:br/>
        <w:t xml:space="preserve">    "ais_anomaly": {</w:t>
        <w:br/>
        <w:t xml:space="preserve">      "score": 69,</w:t>
        <w:br/>
        <w:t xml:space="preserve">      "weight": 0.10,</w:t>
        <w:br/>
        <w:t xml:space="preserve">      "contribution": 6.9,</w:t>
        <w:br/>
        <w:t xml:space="preserve">      "explanation": "An inferred AIS gap overlaps the estimated release interval."</w:t>
        <w:br/>
        <w:t xml:space="preserve">    }</w:t>
        <w:br/>
        <w:t xml:space="preserve">  },</w:t>
        <w:br/>
        <w:t xml:space="preserve">  "matched_source_regions": [</w:t>
        <w:br/>
        <w:t xml:space="preserve">    {</w:t>
        <w:br/>
        <w:t xml:space="preserve">      "source_candidate_region_id": "src_001",</w:t>
        <w:br/>
        <w:t xml:space="preserve">      "compatibility_score": 0.82</w:t>
        <w:br/>
        <w:t xml:space="preserve">    }</w:t>
        <w:br/>
        <w:t xml:space="preserve">  ]</w:t>
        <w:br/>
        <w:t>}</w:t>
      </w:r>
    </w:p>
    <w:p>
      <w:pPr>
        <w:pStyle w:val="Heading1"/>
      </w:pPr>
      <w:r>
        <w:t>9. Reference Pydantic v2 model</w:t>
      </w:r>
    </w:p>
    <w:p>
      <w:pPr>
        <w:pStyle w:val="CodeBlock"/>
        <w:spacing w:after="80"/>
        <w:ind w:left="288"/>
      </w:pPr>
      <w:r>
        <w:t>from pydantic import BaseModel, Field, model_validator</w:t>
        <w:br/>
        <w:br/>
        <w:br/>
        <w:t>class EvidenceScore(BaseModel):</w:t>
        <w:br/>
        <w:t xml:space="preserve">    score: float = Field(..., ge=0, le=100)</w:t>
        <w:br/>
        <w:t xml:space="preserve">    weight: float = Field(..., ge=0, le=1)</w:t>
        <w:br/>
        <w:t xml:space="preserve">    contribution: float = Field(..., ge=0, le=100)</w:t>
        <w:br/>
        <w:t xml:space="preserve">    explanation: str</w:t>
        <w:br/>
        <w:br/>
        <w:t xml:space="preserve">    @model_validator(mode="after")</w:t>
        <w:br/>
        <w:t xml:space="preserve">    def validate_contribution(self):</w:t>
        <w:br/>
        <w:t xml:space="preserve">        expected = self.score * self.weight</w:t>
        <w:br/>
        <w:t xml:space="preserve">        if abs(self.contribution - expected) &gt; 1e-6:</w:t>
        <w:br/>
        <w:t xml:space="preserve">            raise ValueError("contribution must equal score x weight.")</w:t>
        <w:br/>
        <w:t xml:space="preserve">        return self</w:t>
        <w:br/>
        <w:br/>
        <w:br/>
        <w:t>class SourceRegionMatch(BaseModel):</w:t>
        <w:br/>
        <w:t xml:space="preserve">    source_candidate_region_id: str</w:t>
        <w:br/>
        <w:t xml:space="preserve">    compatibility_score: float = Field(..., ge=0, le=1)</w:t>
        <w:br/>
        <w:br/>
        <w:br/>
        <w:t>class EvidenceBreakdown(BaseModel):</w:t>
        <w:br/>
        <w:t xml:space="preserve">    spatial: EvidenceScore</w:t>
        <w:br/>
        <w:t xml:space="preserve">    temporal: EvidenceScore</w:t>
        <w:br/>
        <w:t xml:space="preserve">    trajectory: EvidenceScore</w:t>
        <w:br/>
        <w:t xml:space="preserve">    source_probability: EvidenceScore</w:t>
        <w:br/>
        <w:t xml:space="preserve">    ais_anomaly: EvidenceScore</w:t>
        <w:br/>
        <w:br/>
        <w:t xml:space="preserve">    @model_validator(mode="after")</w:t>
        <w:br/>
        <w:t xml:space="preserve">    def validate_weights(self):</w:t>
        <w:br/>
        <w:t xml:space="preserve">        total = (</w:t>
        <w:br/>
        <w:t xml:space="preserve">            self.spatial.weight</w:t>
        <w:br/>
        <w:t xml:space="preserve">            + self.temporal.weight</w:t>
        <w:br/>
        <w:t xml:space="preserve">            + self.trajectory.weight</w:t>
        <w:br/>
        <w:t xml:space="preserve">            + self.source_probability.weight</w:t>
        <w:br/>
        <w:t xml:space="preserve">            + self.ais_anomaly.weight</w:t>
        <w:br/>
        <w:t xml:space="preserve">        )</w:t>
        <w:br/>
        <w:t xml:space="preserve">        if abs(total - 1.0) &gt; 1e-6:</w:t>
        <w:br/>
        <w:t xml:space="preserve">            raise ValueError("Evidence weights must sum to 1.0.")</w:t>
        <w:br/>
        <w:t xml:space="preserve">        return self</w:t>
        <w:br/>
        <w:br/>
        <w:br/>
        <w:t>class Attribution(BaseModel):</w:t>
        <w:br/>
        <w:t xml:space="preserve">    incident_id: str</w:t>
        <w:br/>
        <w:t xml:space="preserve">    mmsi: str</w:t>
        <w:br/>
        <w:t xml:space="preserve">    overall_score: float = Field(..., ge=0, le=100)</w:t>
        <w:br/>
        <w:t xml:space="preserve">    rank: int = Field(..., ge=1)</w:t>
        <w:br/>
        <w:t xml:space="preserve">    evidence_breakdown: EvidenceBreakdown</w:t>
        <w:br/>
        <w:t xml:space="preserve">    matched_source_regions: list[SourceRegionMatch] = Field(default_factory=list)</w:t>
        <w:br/>
        <w:br/>
        <w:t xml:space="preserve">    @model_validator(mode="after")</w:t>
        <w:br/>
        <w:t xml:space="preserve">    def validate_overall_score(self):</w:t>
        <w:br/>
        <w:t xml:space="preserve">        e = self.evidence_breakdown</w:t>
        <w:br/>
        <w:t xml:space="preserve">        calculated = (</w:t>
        <w:br/>
        <w:t xml:space="preserve">            e.spatial.contribution</w:t>
        <w:br/>
        <w:t xml:space="preserve">            + e.temporal.contribution</w:t>
        <w:br/>
        <w:t xml:space="preserve">            + e.trajectory.contribution</w:t>
        <w:br/>
        <w:t xml:space="preserve">            + e.source_probability.contribution</w:t>
        <w:br/>
        <w:t xml:space="preserve">            + e.ais_anomaly.contribution</w:t>
        <w:br/>
        <w:t xml:space="preserve">        )</w:t>
        <w:br/>
        <w:t xml:space="preserve">        if abs(self.overall_score - calculated) &gt; 1e-6:</w:t>
        <w:br/>
        <w:t xml:space="preserve">            raise ValueError(</w:t>
        <w:br/>
        <w:t xml:space="preserve">                "overall_score must equal the sum of all evidence contributions."</w:t>
        <w:br/>
        <w:t xml:space="preserve">            )</w:t>
        <w:br/>
        <w:t xml:space="preserve">        return self</w:t>
        <w:br/>
        <w:br/>
        <w:t xml:space="preserve">    @model_validator(mode="after")</w:t>
        <w:br/>
        <w:t xml:space="preserve">    def validate_mmsi(self):</w:t>
        <w:br/>
        <w:t xml:space="preserve">        if not self.mmsi.isdigit():</w:t>
        <w:br/>
        <w:t xml:space="preserve">            raise ValueError("MMSI must contain digits only.")</w:t>
        <w:br/>
        <w:t xml:space="preserve">        if len(self.mmsi) != 9:</w:t>
        <w:br/>
        <w:t xml:space="preserve">            raise ValueError("MMSI must contain exactly 9 digits.")</w:t>
        <w:br/>
        <w:t xml:space="preserve">        return self</w:t>
      </w:r>
    </w:p>
    <w:p>
      <w:pPr>
        <w:pStyle w:val="Heading1"/>
      </w:pPr>
      <w:r>
        <w:t>10. Mathematical invariants</w:t>
      </w:r>
    </w:p>
    <w:p>
      <w:pPr/>
      <w:r>
        <w:t>The contract enforces three invariants. First, every EvidenceScore satisfies contribution = score x weight. Second, the five EvidenceBreakdown weights sum to 1.0. Third, Attribution.overall_score equals the sum of the five contributions. These rules keep an attribution response internally consistent and prevent the frontend from displaying contradictory arithmetic.</w:t>
      </w:r>
    </w:p>
    <w:p>
      <w:pPr>
        <w:pStyle w:val="CodeBlock"/>
        <w:spacing w:after="80"/>
        <w:ind w:left="288"/>
      </w:pPr>
      <w:r>
        <w:t>overall_score = Σ(score_i × weight_i)</w:t>
      </w:r>
    </w:p>
    <w:p>
      <w:pPr>
        <w:pStyle w:val="Heading1"/>
      </w:pPr>
      <w:r>
        <w:t>11. Semantic rules and non-goals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pPr>
              <w:spacing w:after="0"/>
            </w:pPr>
            <w:r/>
            <w:r>
              <w:rPr>
                <w:b/>
              </w:rPr>
              <w:t>Rule</w:t>
            </w:r>
          </w:p>
        </w:tc>
        <w:tc>
          <w:tcPr>
            <w:tcW w:type="dxa" w:w="5112"/>
            <w:vAlign w:val="center"/>
            <w:shd w:fill="E2E8F0"/>
          </w:tcPr>
          <w:p>
            <w:pPr>
              <w:spacing w:after="0"/>
            </w:pPr>
            <w:r/>
            <w:r>
              <w:rPr>
                <w:b/>
              </w:rPr>
              <w:t>Decision</w:t>
            </w:r>
          </w:p>
        </w:tc>
      </w:tr>
      <w:tr>
        <w:tc>
          <w:tcPr>
            <w:tcW w:type="dxa" w:w="5112"/>
            <w:vAlign w:val="center"/>
          </w:tcPr>
          <w:p>
            <w:pPr>
              <w:spacing w:after="0"/>
            </w:pPr>
            <w:r/>
            <w:r>
              <w:rPr>
                <w:b w:val="0"/>
              </w:rPr>
              <w:t>Score semantics</w:t>
            </w:r>
          </w:p>
        </w:tc>
        <w:tc>
          <w:tcPr>
            <w:tcW w:type="dxa" w:w="5112"/>
            <w:vAlign w:val="center"/>
          </w:tcPr>
          <w:p>
            <w:pPr>
              <w:spacing w:after="0"/>
            </w:pPr>
            <w:r/>
            <w:r>
              <w:rPr>
                <w:b w:val="0"/>
              </w:rPr>
              <w:t>overall_score and evidence score values express compatibility/evidence strength, not probability of guilt.</w:t>
            </w:r>
          </w:p>
        </w:tc>
      </w:tr>
      <w:tr>
        <w:tc>
          <w:tcPr>
            <w:tcW w:type="dxa" w:w="5112"/>
            <w:vAlign w:val="center"/>
          </w:tcPr>
          <w:p>
            <w:pPr>
              <w:spacing w:after="0"/>
            </w:pPr>
            <w:r/>
            <w:r>
              <w:rPr>
                <w:b w:val="0"/>
              </w:rPr>
              <w:t>Source probability</w:t>
            </w:r>
          </w:p>
        </w:tc>
        <w:tc>
          <w:tcPr>
            <w:tcW w:type="dxa" w:w="5112"/>
            <w:vAlign w:val="center"/>
          </w:tcPr>
          <w:p>
            <w:pPr>
              <w:spacing w:after="0"/>
            </w:pPr>
            <w:r/>
            <w:r>
              <w:rPr>
                <w:b w:val="0"/>
              </w:rPr>
              <w:t>Owned by SourceCandidateRegion and derived from hindcast particle density; not duplicated in Attribution.</w:t>
            </w:r>
          </w:p>
        </w:tc>
      </w:tr>
      <w:tr>
        <w:tc>
          <w:tcPr>
            <w:tcW w:type="dxa" w:w="5112"/>
            <w:vAlign w:val="center"/>
          </w:tcPr>
          <w:p>
            <w:pPr>
              <w:spacing w:after="0"/>
            </w:pPr>
            <w:r/>
            <w:r>
              <w:rPr>
                <w:b w:val="0"/>
              </w:rPr>
              <w:t>AIS gaps</w:t>
            </w:r>
          </w:p>
        </w:tc>
        <w:tc>
          <w:tcPr>
            <w:tcW w:type="dxa" w:w="5112"/>
            <w:vAlign w:val="center"/>
          </w:tcPr>
          <w:p>
            <w:pPr>
              <w:spacing w:after="0"/>
            </w:pPr>
            <w:r/>
            <w:r>
              <w:rPr>
                <w:b w:val="0"/>
              </w:rPr>
              <w:t>An AIS gap is evidence about data availability. The Attribution layer may consider its relevance but must not reinterpret a gap as proof of intentional disabling.</w:t>
            </w:r>
          </w:p>
        </w:tc>
      </w:tr>
      <w:tr>
        <w:tc>
          <w:tcPr>
            <w:tcW w:type="dxa" w:w="5112"/>
            <w:vAlign w:val="center"/>
          </w:tcPr>
          <w:p>
            <w:pPr>
              <w:spacing w:after="0"/>
            </w:pPr>
            <w:r/>
            <w:r>
              <w:rPr>
                <w:b w:val="0"/>
              </w:rPr>
              <w:t>Vessel duplication</w:t>
            </w:r>
          </w:p>
        </w:tc>
        <w:tc>
          <w:tcPr>
            <w:tcW w:type="dxa" w:w="5112"/>
            <w:vAlign w:val="center"/>
          </w:tcPr>
          <w:p>
            <w:pPr>
              <w:spacing w:after="0"/>
            </w:pPr>
            <w:r/>
            <w:r>
              <w:rPr>
                <w:b w:val="0"/>
              </w:rPr>
              <w:t>Attribution references mmsi instead of embedding the complete Vessel object.</w:t>
            </w:r>
          </w:p>
        </w:tc>
      </w:tr>
      <w:tr>
        <w:tc>
          <w:tcPr>
            <w:tcW w:type="dxa" w:w="5112"/>
            <w:vAlign w:val="center"/>
          </w:tcPr>
          <w:p>
            <w:pPr>
              <w:spacing w:after="0"/>
            </w:pPr>
            <w:r/>
            <w:r>
              <w:rPr>
                <w:b w:val="0"/>
              </w:rPr>
              <w:t>Empty source matches</w:t>
            </w:r>
          </w:p>
        </w:tc>
        <w:tc>
          <w:tcPr>
            <w:tcW w:type="dxa" w:w="5112"/>
            <w:vAlign w:val="center"/>
          </w:tcPr>
          <w:p>
            <w:pPr>
              <w:spacing w:after="0"/>
            </w:pPr>
            <w:r/>
            <w:r>
              <w:rPr>
                <w:b w:val="0"/>
              </w:rPr>
              <w:t>matched_source_regions may be empty when no source hypothesis is sufficiently compatible.</w:t>
            </w:r>
          </w:p>
        </w:tc>
      </w:tr>
      <w:tr>
        <w:tc>
          <w:tcPr>
            <w:tcW w:type="dxa" w:w="5112"/>
            <w:vAlign w:val="center"/>
          </w:tcPr>
          <w:p>
            <w:pPr>
              <w:spacing w:after="0"/>
            </w:pPr>
            <w:r/>
            <w:r>
              <w:rPr>
                <w:b w:val="0"/>
              </w:rPr>
              <w:t>Workflow state</w:t>
            </w:r>
          </w:p>
        </w:tc>
        <w:tc>
          <w:tcPr>
            <w:tcW w:type="dxa" w:w="5112"/>
            <w:vAlign w:val="center"/>
          </w:tcPr>
          <w:p>
            <w:pPr>
              <w:spacing w:after="0"/>
            </w:pPr>
            <w:r/>
            <w:r>
              <w:rPr>
                <w:b w:val="0"/>
              </w:rPr>
              <w:t>No review/cleared/suspicious status is part of this V1 contract; workflow state belongs to a later investigation layer.</w:t>
            </w:r>
          </w:p>
        </w:tc>
      </w:tr>
      <w:tr>
        <w:tc>
          <w:tcPr>
            <w:tcW w:type="dxa" w:w="5112"/>
            <w:vAlign w:val="center"/>
          </w:tcPr>
          <w:p>
            <w:pPr>
              <w:spacing w:after="0"/>
            </w:pPr>
            <w:r/>
            <w:r>
              <w:rPr>
                <w:b w:val="0"/>
              </w:rPr>
              <w:t>Future evidence</w:t>
            </w:r>
          </w:p>
        </w:tc>
        <w:tc>
          <w:tcPr>
            <w:tcW w:type="dxa" w:w="5112"/>
            <w:vAlign w:val="center"/>
          </w:tcPr>
          <w:p>
            <w:pPr>
              <w:spacing w:after="0"/>
            </w:pPr>
            <w:r/>
            <w:r>
              <w:rPr>
                <w:b w:val="0"/>
              </w:rPr>
              <w:t>SAR vessel matching or additional evidence types can be added later, but are outside the V1 core schema.</w:t>
            </w:r>
          </w:p>
        </w:tc>
      </w:tr>
    </w:tbl>
    <w:p>
      <w:pPr>
        <w:pStyle w:val="Heading1"/>
      </w:pPr>
      <w:r>
        <w:t>12. Module 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pPr>
              <w:spacing w:after="0"/>
            </w:pPr>
            <w:r/>
            <w:r>
              <w:rPr>
                <w:b/>
              </w:rPr>
              <w:t>Component</w:t>
            </w:r>
          </w:p>
        </w:tc>
        <w:tc>
          <w:tcPr>
            <w:tcW w:type="dxa" w:w="5112"/>
            <w:vAlign w:val="center"/>
            <w:shd w:fill="E2E8F0"/>
          </w:tcPr>
          <w:p>
            <w:pPr>
              <w:spacing w:after="0"/>
            </w:pPr>
            <w:r/>
            <w:r>
              <w:rPr>
                <w:b/>
              </w:rPr>
              <w:t>Responsibility</w:t>
            </w:r>
          </w:p>
        </w:tc>
      </w:tr>
      <w:tr>
        <w:tc>
          <w:tcPr>
            <w:tcW w:type="dxa" w:w="5112"/>
            <w:vAlign w:val="center"/>
          </w:tcPr>
          <w:p>
            <w:pPr>
              <w:spacing w:after="0"/>
            </w:pPr>
            <w:r/>
            <w:r>
              <w:rPr>
                <w:b w:val="0"/>
              </w:rPr>
              <w:t>Attribution engine</w:t>
            </w:r>
          </w:p>
        </w:tc>
        <w:tc>
          <w:tcPr>
            <w:tcW w:type="dxa" w:w="5112"/>
            <w:vAlign w:val="center"/>
          </w:tcPr>
          <w:p>
            <w:pPr>
              <w:spacing w:after="0"/>
            </w:pPr>
            <w:r/>
            <w:r>
              <w:rPr>
                <w:b w:val="0"/>
              </w:rPr>
              <w:t>Consumes Slick/SourceRegion/Vessel information, computes evidence scores, applies configured weights, calculates overall score and assigns rank.</w:t>
            </w:r>
          </w:p>
        </w:tc>
      </w:tr>
      <w:tr>
        <w:tc>
          <w:tcPr>
            <w:tcW w:type="dxa" w:w="5112"/>
            <w:vAlign w:val="center"/>
          </w:tcPr>
          <w:p>
            <w:pPr>
              <w:spacing w:after="0"/>
            </w:pPr>
            <w:r/>
            <w:r>
              <w:rPr>
                <w:b w:val="0"/>
              </w:rPr>
              <w:t>SourceRegion module</w:t>
            </w:r>
          </w:p>
        </w:tc>
        <w:tc>
          <w:tcPr>
            <w:tcW w:type="dxa" w:w="5112"/>
            <w:vAlign w:val="center"/>
          </w:tcPr>
          <w:p>
            <w:pPr>
              <w:spacing w:after="0"/>
            </w:pPr>
            <w:r/>
            <w:r>
              <w:rPr>
                <w:b w:val="0"/>
              </w:rPr>
              <w:t>Owns candidate source regions and their particle-density-derived probabilities.</w:t>
            </w:r>
          </w:p>
        </w:tc>
      </w:tr>
      <w:tr>
        <w:tc>
          <w:tcPr>
            <w:tcW w:type="dxa" w:w="5112"/>
            <w:vAlign w:val="center"/>
          </w:tcPr>
          <w:p>
            <w:pPr>
              <w:spacing w:after="0"/>
            </w:pPr>
            <w:r/>
            <w:r>
              <w:rPr>
                <w:b w:val="0"/>
              </w:rPr>
              <w:t>Vessel/AIS module</w:t>
            </w:r>
          </w:p>
        </w:tc>
        <w:tc>
          <w:tcPr>
            <w:tcW w:type="dxa" w:w="5112"/>
            <w:vAlign w:val="center"/>
          </w:tcPr>
          <w:p>
            <w:pPr>
              <w:spacing w:after="0"/>
            </w:pPr>
            <w:r/>
            <w:r>
              <w:rPr>
                <w:b w:val="0"/>
              </w:rPr>
              <w:t>Supplies normalized vessel identity, track points and inferred AIS gaps.</w:t>
            </w:r>
          </w:p>
        </w:tc>
      </w:tr>
      <w:tr>
        <w:tc>
          <w:tcPr>
            <w:tcW w:type="dxa" w:w="5112"/>
            <w:vAlign w:val="center"/>
          </w:tcPr>
          <w:p>
            <w:pPr>
              <w:spacing w:after="0"/>
            </w:pPr>
            <w:r/>
            <w:r>
              <w:rPr>
                <w:b w:val="0"/>
              </w:rPr>
              <w:t>Backend API layer</w:t>
            </w:r>
          </w:p>
        </w:tc>
        <w:tc>
          <w:tcPr>
            <w:tcW w:type="dxa" w:w="5112"/>
            <w:vAlign w:val="center"/>
          </w:tcPr>
          <w:p>
            <w:pPr>
              <w:spacing w:after="0"/>
            </w:pPr>
            <w:r/>
            <w:r>
              <w:rPr>
                <w:b w:val="0"/>
              </w:rPr>
              <w:t>Validates and exposes Attribution responses through the /attribute endpoint.</w:t>
            </w:r>
          </w:p>
        </w:tc>
      </w:tr>
      <w:tr>
        <w:tc>
          <w:tcPr>
            <w:tcW w:type="dxa" w:w="5112"/>
            <w:vAlign w:val="center"/>
          </w:tcPr>
          <w:p>
            <w:pPr>
              <w:spacing w:after="0"/>
            </w:pPr>
            <w:r/>
            <w:r>
              <w:rPr>
                <w:b w:val="0"/>
              </w:rPr>
              <w:t>Frontend</w:t>
            </w:r>
          </w:p>
        </w:tc>
        <w:tc>
          <w:tcPr>
            <w:tcW w:type="dxa" w:w="5112"/>
            <w:vAlign w:val="center"/>
          </w:tcPr>
          <w:p>
            <w:pPr>
              <w:spacing w:after="0"/>
            </w:pPr>
            <w:r/>
            <w:r>
              <w:rPr>
                <w:b w:val="0"/>
              </w:rPr>
              <w:t>Displays rank and evidence breakdown; does not recompute attribution logic.</w:t>
            </w:r>
          </w:p>
        </w:tc>
      </w:tr>
    </w:tbl>
    <w:p>
      <w:pPr>
        <w:pStyle w:val="Heading1"/>
      </w:pPr>
      <w:r>
        <w:t>13. References</w:t>
      </w:r>
    </w:p>
    <w:p>
      <w:pPr/>
      <w:r>
        <w:t>SIH 2026 / OilTrace internal working document: the required Attribution endpoint and minimum object fields are specified in the team assignment. [See team working document, API/data-contract requirements section]</w:t>
      </w:r>
    </w:p>
    <w:p>
      <w:pPr/>
      <w:r>
        <w:t>EMSA CleanSeaNet: https://www.emsa.europa.eu/csn-menu.html — operational context for satellite pollution detection and potential source identification.</w:t>
      </w:r>
    </w:p>
    <w:p>
      <w:pPr/>
      <w:r>
        <w:t>IMO AIS materials: https://www.imo.org/en/OurWork/Safety/Pages/AIS.aspx — background on AIS as a maritime safety and vessel-identification system.</w:t>
      </w:r>
    </w:p>
    <w:p>
      <w:pPr/>
      <w:r>
        <w:t>AISStream documentation: https://aisstream.io/documentation — reference for AIS dynamic/static message fields used to normalize vessel data.</w:t>
      </w:r>
    </w:p>
    <w:p>
      <w:pPr/>
      <w:r>
        <w:t>GeoJSON specification (RFC 7946): https://www.rfc-editor.org/rfc/rfc7946 — spatial representation conventions used elsewhere in OilTrace.</w:t>
      </w:r>
    </w:p>
    <w:p>
      <w:pPr>
        <w:pStyle w:val="Heading1"/>
      </w:pPr>
      <w:r>
        <w:t>14. Contract status</w:t>
      </w:r>
    </w:p>
    <w:p>
      <w:pPr/>
      <w:r>
        <w:t>Status: Proposed V1 for OilTrace MVP. This contract is ready to implement, with scoring weights and the raw-to-score conversion functions remaining configurable implementation choices. Before production use, the team should validate scoring against a controlled benchmark and review the meaning of every evidence component with the system owner.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OilTrace • Attribution Data Contract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OilTrace Attribution Data Contract v1.0</dc:title>
  <dc:subject>SIH 2026 Problem 26143 backend/API data contract</dc:subject>
  <dc:creator>OilTrace Team</dc:creator>
  <cp:keywords>OilTrace, SIH 2026, attribution, AIS, source region</cp:keywords>
  <dc:description>generated by python-docx</dc:description>
  <cp:lastModifiedBy/>
  <cp:revision>1</cp:revision>
  <dcterms:created xsi:type="dcterms:W3CDTF">2013-12-23T23:15:00Z</dcterms:created>
  <dcterms:modified xsi:type="dcterms:W3CDTF">2013-12-23T23:15:00Z</dcterms:modified>
  <cp:category/>
</cp:coreProperties>
</file>