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SourceRegion Data Contract</w:t>
      </w:r>
    </w:p>
    <w:p>
      <w:pPr>
        <w:jc w:val="left"/>
      </w:pPr>
      <w:r>
        <w:t>OilTrace / SIH 26143 • Version 1.0 • 27 August 2026</w:t>
      </w:r>
    </w:p>
    <w:p>
      <w:pPr>
        <w:pStyle w:val="Heading1"/>
      </w:pPr>
      <w:r>
        <w:t>1. Scope and meaning</w:t>
      </w:r>
    </w:p>
    <w:p>
      <w:r>
        <w:t>A SourceRegion represents the output of the hindcast stage: a set of competing space-time hypotheses describing where and when the observed slick could have originated. It is intentionally not a single polygon or a single “source point”. Each candidate region carries its own geometry, release-time window and particle-density-derived probability.</w:t>
      </w:r>
    </w:p>
    <w:p>
      <w:r>
        <w:t>Existing requirement: the SIH working document asks for a source geometry, start_time_utc, end_time_utc and confidence/uncertainty, and asks the team to define exact field names and conventions.</w:t>
      </w:r>
    </w:p>
    <w:p>
      <w:r>
        <w:t>Proposed design: represent SourceRegion as a parent object containing one or more SourceCandidateRegion objects. Candidate geometries may overlap. Probability values are derived from the simulated particle-density distribution and are not required to sum to 1 across candidates.</w:t>
      </w:r>
    </w:p>
    <w:p>
      <w:pPr>
        <w:pStyle w:val="Heading1"/>
      </w:pPr>
      <w:r>
        <w:t>2. Contract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Object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Role</w:t>
            </w:r>
          </w:p>
        </w:tc>
        <w:tc>
          <w:tcPr>
            <w:tcW w:type="dxa" w:w="3389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Core fields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SourceRegion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Parent result linking one hindcast result to its observed slick.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slick_id, candidate_regions, generated_at_utc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SourceCandidateRegion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plausible source hypothesis in space and time.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id, geometry, centroid, start_time_utc, end_time_utc, probability</w:t>
            </w:r>
          </w:p>
        </w:tc>
      </w:tr>
    </w:tbl>
    <w:p>
      <w:r>
        <w:t>The parent SourceRegion does not carry a single geometry or a single source-time window. Those belong to individual candidate regions because different candidate locations may correspond to different plausible release times.</w:t>
      </w:r>
    </w:p>
    <w:p>
      <w:pPr>
        <w:pStyle w:val="Heading1"/>
      </w:pPr>
      <w:r>
        <w:t>3. SourceCandidateRegion</w:t>
      </w:r>
    </w:p>
    <w:p>
      <w:r>
        <w:t>A SourceCandidateRegion is the fundamental unit of source inference. It answers one question: “What area, during what time interval, is one plausible origin hypothesis, and how strongly is it supported by the hindcast particle density?”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37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4608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Unique identifier for this candidate hypothesis.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geometry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GeoJSON Polygon | MultiPolygon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Spatial footprint of this candidate source region. Candidate geometries may overlap.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centroid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{lat, lon}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Representative point derived from the candidate geometry.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start_time_utc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datetime / ISO-8601 UTC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Earliest plausible release time associated with this candidate.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end_time_utc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datetime / ISO-8601 UTC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Latest plausible release time associated with this candidate.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probability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float [0,1]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Particle-density-derived source probability/weight for the candidate hypothesis.</w:t>
            </w:r>
          </w:p>
        </w:tc>
      </w:tr>
    </w:tbl>
    <w:p>
      <w:pPr>
        <w:pStyle w:val="Heading1"/>
      </w:pPr>
      <w:r>
        <w:t>4. Geometry conventions</w:t>
      </w:r>
    </w:p>
    <w:p>
      <w:r>
        <w:t>SourceCandidateRegion reuses the same GeoJSON geometry models defined for the Slick contract. Geometry type is restricted to Polygon or MultiPolygon. GeoJSON coordinates use [longitude, latitude] ordering in WGS 84.</w:t>
      </w:r>
    </w:p>
    <w:p>
      <w:pPr>
        <w:pStyle w:val="ListBullet"/>
      </w:pPr>
      <w:r>
        <w:t>Polygon: one or more linear rings; every ring contains at least four positions and is closed.</w:t>
      </w:r>
    </w:p>
    <w:p>
      <w:pPr>
        <w:pStyle w:val="ListBullet"/>
      </w:pPr>
      <w:r>
        <w:t>MultiPolygon: one or more polygons, each following the same ring rules.</w:t>
      </w:r>
    </w:p>
    <w:p>
      <w:pPr>
        <w:pStyle w:val="ListBullet"/>
      </w:pPr>
      <w:r>
        <w:t>Application-level Point continues to use named fields {lat, lon}; this differs intentionally from GeoJSON coordinate arrays [lon, lat].</w:t>
      </w:r>
    </w:p>
    <w:p>
      <w:pPr>
        <w:pStyle w:val="ListBullet"/>
      </w:pPr>
      <w:r>
        <w:t>Candidate geometries are allowed to overlap; overlap is not treated as an invalid condition.</w:t>
      </w:r>
    </w:p>
    <w:p>
      <w:pPr>
        <w:pStyle w:val="Heading2"/>
      </w:pPr>
      <w:r>
        <w:t>4.1 Candidate region example</w:t>
      </w:r>
    </w:p>
    <w:p>
      <w:pPr>
        <w:spacing w:before="40" w:after="100"/>
        <w:ind w:left="288" w:right="288"/>
      </w:pPr>
      <w:r>
        <w:rPr>
          <w:rFonts w:ascii="Courier New" w:hAnsi="Courier New"/>
          <w:sz w:val="16"/>
        </w:rPr>
        <w:t>{</w:t>
        <w:br/>
        <w:t xml:space="preserve">  "id": "src_001",</w:t>
        <w:br/>
        <w:t xml:space="preserve">  "geometry": {</w:t>
        <w:br/>
        <w:t xml:space="preserve">    "type": "Polygon",</w:t>
        <w:br/>
        <w:t xml:space="preserve">    "coordinates": [</w:t>
        <w:br/>
        <w:t xml:space="preserve">      [[72.30, 18.18], [72.36, 18.22],</w:t>
        <w:br/>
        <w:t xml:space="preserve">       [72.35, 18.16], [72.30, 18.18]]</w:t>
        <w:br/>
        <w:t xml:space="preserve">    ]</w:t>
        <w:br/>
        <w:t xml:space="preserve">  },</w:t>
        <w:br/>
        <w:t xml:space="preserve">  "centroid": {"lat": 18.19, "lon": 72.33},</w:t>
        <w:br/>
        <w:t xml:space="preserve">  "start_time_utc": "2026-08-27T04:15:00Z",</w:t>
        <w:br/>
        <w:t xml:space="preserve">  "end_time_utc": "2026-08-27T05:00:00Z",</w:t>
        <w:br/>
        <w:t xml:space="preserve">  "probability": 0.72</w:t>
        <w:br/>
        <w:t>}</w:t>
      </w:r>
    </w:p>
    <w:p>
      <w:pPr>
        <w:pStyle w:val="Heading1"/>
      </w:pPr>
      <w:r>
        <w:t>5. Probability semantics</w:t>
      </w:r>
    </w:p>
    <w:p>
      <w:r>
        <w:t>The probability field is a particle-density-derived quantity. Conceptually, the hindcast creates an ensemble of oil particles and produces a spatial density distribution. Candidate regions are derived from that distribution, and probability represents the normalized particle-density support associated with the candidate hypothesis.</w:t>
      </w:r>
    </w:p>
    <w:p>
      <w:r>
        <w:t>Proposed design rule: candidate probabilities do not need to sum to 1 because candidate geometries may overlap and therefore are not necessarily mutually exclusive. The implementation should document the exact normalization method used when generating the candidates.</w:t>
      </w:r>
    </w:p>
    <w:p>
      <w:r>
        <w:t>Do not interpret probability as a legal or forensic statement that a vessel, person or organization is responsible. Attribution is a separate downstream inference.</w:t>
      </w:r>
    </w:p>
    <w:p>
      <w:pPr>
        <w:pStyle w:val="Heading1"/>
      </w:pPr>
      <w:r>
        <w:t>6. SourceRegion parent object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2088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2880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Type</w:t>
            </w:r>
          </w:p>
        </w:tc>
        <w:tc>
          <w:tcPr>
            <w:tcW w:type="dxa" w:w="93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Required</w:t>
            </w:r>
          </w:p>
        </w:tc>
        <w:tc>
          <w:tcPr>
            <w:tcW w:type="dxa" w:w="4104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Unique identifier for this hindcast result.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slick_id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string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Identifier of the observed Slick from which this source analysis was generated.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candidate_regions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array[SourceCandidateRegion]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or more candidate source hypotheses.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generated_at_utc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datetime / ISO-8601 UTC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 at which this source analysis was generated.</w:t>
            </w:r>
          </w:p>
        </w:tc>
      </w:tr>
    </w:tbl>
    <w:p>
      <w:r>
        <w:t>No hindcast-engine metadata is included in v1. Model configuration, forcing-data provenance, particle counts and simulation diagnostics remain implementation details unless a later module has a demonstrated need for them.</w:t>
      </w:r>
    </w:p>
    <w:p>
      <w:pPr>
        <w:pStyle w:val="Heading1"/>
      </w:pPr>
      <w:r>
        <w:t>7. Canonical SourceRegion JSON</w:t>
      </w:r>
    </w:p>
    <w:p>
      <w:pPr>
        <w:spacing w:before="40" w:after="100"/>
        <w:ind w:left="288" w:right="288"/>
      </w:pPr>
      <w:r>
        <w:rPr>
          <w:rFonts w:ascii="Courier New" w:hAnsi="Courier New"/>
          <w:sz w:val="16"/>
        </w:rPr>
        <w:t>{</w:t>
        <w:br/>
        <w:t xml:space="preserve">  "id": "source_region_001",</w:t>
        <w:br/>
        <w:t xml:space="preserve">  "slick_id": "slick_001",</w:t>
        <w:br/>
        <w:t xml:space="preserve">  "candidate_regions": [</w:t>
        <w:br/>
        <w:t xml:space="preserve">    {</w:t>
        <w:br/>
        <w:t xml:space="preserve">      "id": "src_001",</w:t>
        <w:br/>
        <w:t xml:space="preserve">      "geometry": {</w:t>
        <w:br/>
        <w:t xml:space="preserve">        "type": "Polygon",</w:t>
        <w:br/>
        <w:t xml:space="preserve">        "coordinates": [</w:t>
        <w:br/>
        <w:t xml:space="preserve">          [[72.30, 18.18], [72.36, 18.22],</w:t>
        <w:br/>
        <w:t xml:space="preserve">           [72.35, 18.16], [72.30, 18.18]]</w:t>
        <w:br/>
        <w:t xml:space="preserve">        ]</w:t>
        <w:br/>
        <w:t xml:space="preserve">      },</w:t>
        <w:br/>
        <w:t xml:space="preserve">      "centroid": {"lat": 18.19, "lon": 72.33},</w:t>
        <w:br/>
        <w:t xml:space="preserve">      "start_time_utc": "2026-08-27T04:15:00Z",</w:t>
        <w:br/>
        <w:t xml:space="preserve">      "end_time_utc": "2026-08-27T05:00:00Z",</w:t>
        <w:br/>
        <w:t xml:space="preserve">      "probability": 0.72</w:t>
        <w:br/>
        <w:t xml:space="preserve">    },</w:t>
        <w:br/>
        <w:t xml:space="preserve">    {</w:t>
        <w:br/>
        <w:t xml:space="preserve">      "id": "src_002",</w:t>
        <w:br/>
        <w:t xml:space="preserve">      "geometry": {</w:t>
        <w:br/>
        <w:t xml:space="preserve">        "type": "Polygon",</w:t>
        <w:br/>
        <w:t xml:space="preserve">        "coordinates": [</w:t>
        <w:br/>
        <w:t xml:space="preserve">          [[72.34, 18.20], [72.40, 18.24],</w:t>
        <w:br/>
        <w:t xml:space="preserve">           [72.39, 18.18], [72.34, 18.20]]</w:t>
        <w:br/>
        <w:t xml:space="preserve">        ]</w:t>
        <w:br/>
        <w:t xml:space="preserve">      },</w:t>
        <w:br/>
        <w:t xml:space="preserve">      "centroid": {"lat": 18.21, "lon": 72.37},</w:t>
        <w:br/>
        <w:t xml:space="preserve">      "start_time_utc": "2026-08-27T05:00:00Z",</w:t>
        <w:br/>
        <w:t xml:space="preserve">      "end_time_utc": "2026-08-27T05:45:00Z",</w:t>
        <w:br/>
        <w:t xml:space="preserve">      "probability": 0.54</w:t>
        <w:br/>
        <w:t xml:space="preserve">    }</w:t>
        <w:br/>
        <w:t xml:space="preserve">  ],</w:t>
        <w:br/>
        <w:t xml:space="preserve">  "generated_at_utc": "2026-08-27T10:15:32Z"</w:t>
        <w:br/>
        <w:t>}</w:t>
      </w:r>
    </w:p>
    <w:p>
      <w:pPr>
        <w:pStyle w:val="Heading1"/>
      </w:pPr>
      <w:r>
        <w:t>8. Validation rules</w:t>
      </w:r>
    </w:p>
    <w:p>
      <w:pPr>
        <w:pStyle w:val="ListBullet"/>
      </w:pPr>
      <w:r>
        <w:t>id and slick_id must be non-empty strings.</w:t>
      </w:r>
    </w:p>
    <w:p>
      <w:pPr>
        <w:pStyle w:val="ListBullet"/>
      </w:pPr>
      <w:r>
        <w:t>candidate_regions must contain at least one candidate.</w:t>
      </w:r>
    </w:p>
    <w:p>
      <w:pPr>
        <w:pStyle w:val="ListBullet"/>
      </w:pPr>
      <w:r>
        <w:t>Candidate region ids must be unique within a SourceRegion.</w:t>
      </w:r>
    </w:p>
    <w:p>
      <w:pPr>
        <w:pStyle w:val="ListBullet"/>
      </w:pPr>
      <w:r>
        <w:t>start_time_utc and end_time_utc must be valid ISO-8601 UTC timestamps.</w:t>
      </w:r>
    </w:p>
    <w:p>
      <w:pPr>
        <w:pStyle w:val="ListBullet"/>
      </w:pPr>
      <w:r>
        <w:t>end_time_utc must be greater than or equal to start_time_utc.</w:t>
      </w:r>
    </w:p>
    <w:p>
      <w:pPr>
        <w:pStyle w:val="ListBullet"/>
      </w:pPr>
      <w:r>
        <w:t>centroid latitude must be within [-90, 90] and longitude within [-180, 180].</w:t>
      </w:r>
    </w:p>
    <w:p>
      <w:pPr>
        <w:pStyle w:val="ListBullet"/>
      </w:pPr>
      <w:r>
        <w:t>Candidate geometry must be Polygon or MultiPolygon and follow the shared Slick geometry validation rules.</w:t>
      </w:r>
    </w:p>
    <w:p>
      <w:pPr>
        <w:pStyle w:val="ListBullet"/>
      </w:pPr>
      <w:r>
        <w:t>probability must be in the inclusive range [0, 1].</w:t>
      </w:r>
    </w:p>
    <w:p>
      <w:pPr>
        <w:pStyle w:val="ListBullet"/>
      </w:pPr>
      <w:r>
        <w:t>Candidate probabilities are not required to sum to 1.</w:t>
      </w:r>
    </w:p>
    <w:p>
      <w:pPr>
        <w:pStyle w:val="ListBullet"/>
      </w:pPr>
      <w:r>
        <w:t>Overlapping candidate geometries are valid and expected.</w:t>
      </w:r>
    </w:p>
    <w:p>
      <w:pPr>
        <w:pStyle w:val="Heading1"/>
      </w:pPr>
      <w:r>
        <w:t>9. Pydantic reference model</w:t>
      </w:r>
    </w:p>
    <w:p>
      <w:r>
        <w:t>Reference implementation for FastAPI/Pydantic v2. This model reuses the shared Point and GeoJSONGeometry types from the Slick contract and validates only the structural rules that belong at the API boundary.</w:t>
      </w:r>
    </w:p>
    <w:p>
      <w:pPr>
        <w:spacing w:before="40" w:after="100"/>
        <w:ind w:left="288" w:right="288"/>
      </w:pPr>
      <w:r>
        <w:rPr>
          <w:rFonts w:ascii="Courier New" w:hAnsi="Courier New"/>
          <w:sz w:val="16"/>
        </w:rPr>
        <w:t>from datetime import datetime</w:t>
        <w:br/>
        <w:br/>
        <w:t>from pydantic import BaseModel, Field, field_validator, model_validator</w:t>
        <w:br/>
        <w:br/>
        <w:t>from .slick import GeoJSONGeometry, Point</w:t>
        <w:br/>
        <w:br/>
        <w:br/>
        <w:t>class SourceCandidateRegion(BaseModel):</w:t>
        <w:br/>
        <w:t xml:space="preserve">    id: str</w:t>
        <w:br/>
        <w:t xml:space="preserve">    geometry: GeoJSONGeometry</w:t>
        <w:br/>
        <w:t xml:space="preserve">    centroid: Point</w:t>
        <w:br/>
        <w:t xml:space="preserve">    start_time_utc: datetime</w:t>
        <w:br/>
        <w:t xml:space="preserve">    end_time_utc: datetime</w:t>
        <w:br/>
        <w:t xml:space="preserve">    probability: float = Field(..., ge=0, le=1)</w:t>
        <w:br/>
        <w:br/>
        <w:t xml:space="preserve">    @model_validator(mode="after")</w:t>
        <w:br/>
        <w:t xml:space="preserve">    def validate_time_window(self):</w:t>
        <w:br/>
        <w:t xml:space="preserve">        if self.end_time_utc &lt; self.start_time_utc:</w:t>
        <w:br/>
        <w:t xml:space="preserve">            raise ValueError(</w:t>
        <w:br/>
        <w:t xml:space="preserve">                "end_time_utc must be greater than or equal to "</w:t>
        <w:br/>
        <w:t xml:space="preserve">                "start_time_utc."</w:t>
        <w:br/>
        <w:t xml:space="preserve">            )</w:t>
        <w:br/>
        <w:t xml:space="preserve">        return self</w:t>
        <w:br/>
        <w:br/>
        <w:br/>
        <w:t>class SourceRegion(BaseModel):</w:t>
        <w:br/>
        <w:t xml:space="preserve">    id: str</w:t>
        <w:br/>
        <w:t xml:space="preserve">    slick_id: str</w:t>
        <w:br/>
        <w:t xml:space="preserve">    candidate_regions: list[SourceCandidateRegion] = Field(..., min_length=1)</w:t>
        <w:br/>
        <w:t xml:space="preserve">    generated_at_utc: datetime</w:t>
        <w:br/>
        <w:br/>
        <w:t xml:space="preserve">    @field_validator("candidate_regions")</w:t>
        <w:br/>
        <w:t xml:space="preserve">    @classmethod</w:t>
        <w:br/>
        <w:t xml:space="preserve">    def validate_candidate_regions(cls, regions):</w:t>
        <w:br/>
        <w:t xml:space="preserve">        ids = [region.id for region in regions]</w:t>
        <w:br/>
        <w:t xml:space="preserve">        if len(ids) != len(set(ids)):</w:t>
        <w:br/>
        <w:t xml:space="preserve">            raise ValueError(</w:t>
        <w:br/>
        <w:t xml:space="preserve">                "Candidate region IDs must be unique within a SourceRegion."</w:t>
        <w:br/>
        <w:t xml:space="preserve">            )</w:t>
        <w:br/>
        <w:t xml:space="preserve">        return regions</w:t>
      </w:r>
    </w:p>
    <w:p>
      <w:pPr>
        <w:pStyle w:val="Heading1"/>
      </w:pPr>
      <w:r>
        <w:t>10. Ownership and downstream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728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Module</w:t>
            </w:r>
          </w:p>
        </w:tc>
        <w:tc>
          <w:tcPr>
            <w:tcW w:type="dxa" w:w="4032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Reads / creates</w:t>
            </w:r>
          </w:p>
        </w:tc>
        <w:tc>
          <w:tcPr>
            <w:tcW w:type="dxa" w:w="3744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6"/>
              </w:rPr>
              <w:t>Contract boundary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Hindcast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Creates SourceRegion from Slick + environmental forcing.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Owns generation of candidate source hypotheses.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AIS / Vessels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Consumes candidate region geometry and time windows.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not alter candidate probabilities or source geometry.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Attribution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Consumes SourceRegion + Vessel data.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treat candidate probability as source evidence, not vessel guilt.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Displays candidate regions, probabilities and time windows.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visualize overlap and uncertainty rather than collapse it into one point.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Replay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Uses candidate-region events/time windows for incident animation.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Must preserve UTC timestamps.</w:t>
            </w:r>
          </w:p>
        </w:tc>
      </w:tr>
    </w:tbl>
    <w:p>
      <w:pPr>
        <w:pStyle w:val="Heading1"/>
      </w:pPr>
      <w:r>
        <w:t>11. Deliberate exclusions from SourceRegion</w:t>
      </w:r>
    </w:p>
    <w:p>
      <w:pPr>
        <w:pStyle w:val="ListBullet"/>
      </w:pPr>
      <w:r>
        <w:t>No single parent geometry: source uncertainty is represented by candidate-region geometries.</w:t>
      </w:r>
    </w:p>
    <w:p>
      <w:pPr>
        <w:pStyle w:val="ListBullet"/>
      </w:pPr>
      <w:r>
        <w:t>No parent-level release time: individual candidates may have different time windows.</w:t>
      </w:r>
    </w:p>
    <w:p>
      <w:pPr>
        <w:pStyle w:val="ListBullet"/>
      </w:pPr>
      <w:r>
        <w:t>No vessel data or attribution scores: those belong to Vessel and Attribution contracts.</w:t>
      </w:r>
    </w:p>
    <w:p>
      <w:pPr>
        <w:pStyle w:val="ListBullet"/>
      </w:pPr>
      <w:r>
        <w:t>No raw particle arrays: detailed particle trajectories are a separate hindcast output concern.</w:t>
      </w:r>
    </w:p>
    <w:p>
      <w:pPr>
        <w:pStyle w:val="ListBullet"/>
      </w:pPr>
      <w:r>
        <w:t>No hindcast model metadata in v1: keep the result contract separate from the machinery that produced it.</w:t>
      </w:r>
    </w:p>
    <w:p>
      <w:pPr>
        <w:pStyle w:val="ListBullet"/>
      </w:pPr>
      <w:r>
        <w:t>No requirement that candidate probabilities sum to 1: overlapping candidates are explicitly supported.</w:t>
      </w:r>
    </w:p>
    <w:p>
      <w:pPr>
        <w:pStyle w:val="Heading1"/>
      </w:pPr>
      <w:r>
        <w:t>12. Design decisions to carry forward</w:t>
      </w:r>
    </w:p>
    <w:p>
      <w:pPr>
        <w:pStyle w:val="ListBullet"/>
      </w:pPr>
      <w:r>
        <w:t>Use UTC everywhere and field names ending in _utc for timestamps.</w:t>
      </w:r>
    </w:p>
    <w:p>
      <w:pPr>
        <w:pStyle w:val="ListBullet"/>
      </w:pPr>
      <w:r>
        <w:t>Reuse the Slick contract’s geometry models and coordinate conventions.</w:t>
      </w:r>
    </w:p>
    <w:p>
      <w:pPr>
        <w:pStyle w:val="ListBullet"/>
      </w:pPr>
      <w:r>
        <w:t>Treat a candidate region as a space-time hypothesis, not merely a polygon.</w:t>
      </w:r>
    </w:p>
    <w:p>
      <w:pPr>
        <w:pStyle w:val="ListBullet"/>
      </w:pPr>
      <w:r>
        <w:t>Allow overlapping candidates to preserve the shape of the hindcast uncertainty.</w:t>
      </w:r>
    </w:p>
    <w:p>
      <w:pPr>
        <w:pStyle w:val="ListBullet"/>
      </w:pPr>
      <w:r>
        <w:t>Use particle-density-derived probability and document the normalization method used by the hindcast implementation.</w:t>
      </w:r>
    </w:p>
    <w:p>
      <w:pPr>
        <w:pStyle w:val="ListBullet"/>
      </w:pPr>
      <w:r>
        <w:t>Keep inferred source information separate from observed Slick information.</w:t>
      </w:r>
    </w:p>
    <w:p>
      <w:pPr>
        <w:pStyle w:val="Heading1"/>
      </w:pPr>
      <w:r>
        <w:t>Sources and basis</w:t>
      </w:r>
    </w:p>
    <w:p>
      <w:r>
        <w:t>1. OilTrace Research Sprint internal working document, “SIH 2026 • Problem 26143 • OilTrace Research Sprint” (uploaded DOCX), especially the data-contract section. It specifies the SourceRegion minimum of geometry, start_time_utc, end_time_utc and confidence/uncertainty, and the requirement to define exact fields and conventions.</w:t>
      </w:r>
    </w:p>
    <w:p>
      <w:r>
        <w:t>2. OpenDrift documentation, https://opendrift.github.io/ — supporting basis for particle-based ocean drift simulation, backtracking and uncertainty-aware trajectory modelling.</w:t>
      </w:r>
    </w:p>
    <w:p>
      <w:r>
        <w:t>3. RFC 7946, The GeoJSON Format, IETF, https://datatracker.ietf.org/doc/html/rfc7946 — reference for GeoJSON Polygon/MultiPolygon structure and coordinate conventions.</w:t>
      </w:r>
    </w:p>
    <w:p>
      <w:r>
        <w:t>Status: Proposed v1 contract for team review. Existing requirements are retained; the candidate-region structure, overlap semantics and particle-density-derived probability are proposed design decisions.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OilTrace • SourceRegion Data Contract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