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039" w:rsidRDefault="000F4039" w:rsidP="000F403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Toc170215880"/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0F4039">
        <w:rPr>
          <w:rFonts w:ascii="Times New Roman" w:hAnsi="Times New Roman" w:cs="Times New Roman"/>
          <w:b/>
          <w:sz w:val="28"/>
          <w:szCs w:val="28"/>
        </w:rPr>
        <w:t>Диаграмма деятельности для создания и проверки заявлений</w:t>
      </w:r>
    </w:p>
    <w:p w:rsidR="000F4039" w:rsidRDefault="000F4039" w:rsidP="000F40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40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543425" cy="5828587"/>
            <wp:effectExtent l="0" t="0" r="0" b="1270"/>
            <wp:docPr id="1" name="Рисунок 1" descr="C:\Users\Студент.44-8\Desktop\Ольшевский\Info\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удент.44-8\Desktop\Ольшевский\Info\diagram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585" cy="583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039" w:rsidRPr="000F4039" w:rsidRDefault="000F4039" w:rsidP="000F4039">
      <w:pPr>
        <w:pStyle w:val="a5"/>
        <w:spacing w:after="0" w:line="360" w:lineRule="auto"/>
        <w:ind w:left="36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883A4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</w:t>
      </w:r>
      <w:proofErr w:type="spellEnd"/>
      <w:r w:rsidRPr="00883A4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</w:t>
      </w:r>
      <w:r w:rsidRPr="00883A4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Pr="00883A4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«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деятельности</w:t>
      </w:r>
      <w:r w:rsidRPr="00883A4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4039" w:rsidRPr="000F4039" w:rsidRDefault="000F4039" w:rsidP="000F40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0F4039">
        <w:rPr>
          <w:rFonts w:ascii="Times New Roman" w:hAnsi="Times New Roman" w:cs="Times New Roman"/>
          <w:b/>
          <w:sz w:val="28"/>
          <w:szCs w:val="28"/>
        </w:rPr>
        <w:t>.</w:t>
      </w:r>
      <w:r w:rsidRPr="000F4039">
        <w:rPr>
          <w:rFonts w:ascii="Times New Roman" w:hAnsi="Times New Roman" w:cs="Times New Roman"/>
          <w:b/>
          <w:sz w:val="28"/>
          <w:szCs w:val="28"/>
        </w:rPr>
        <w:t xml:space="preserve"> Разработка технического задания</w:t>
      </w:r>
      <w:bookmarkEnd w:id="0"/>
    </w:p>
    <w:p w:rsidR="000F4039" w:rsidRPr="00A647B3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039">
        <w:rPr>
          <w:rFonts w:ascii="Times New Roman" w:hAnsi="Times New Roman" w:cs="Times New Roman"/>
          <w:sz w:val="28"/>
          <w:szCs w:val="28"/>
        </w:rPr>
        <w:t>Портал сознательных граждан «Безопасный город» представляет собой информационную систему, позволяющую сделать город безопаснее. Данная система должна позволить пользователю фиксировать происшествия и опасные ситуации на улицах своего города.</w:t>
      </w:r>
    </w:p>
    <w:p w:rsidR="000F4039" w:rsidRPr="009044A1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4A1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</w:p>
    <w:p w:rsidR="000F4039" w:rsidRPr="0031499F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99F">
        <w:rPr>
          <w:rFonts w:ascii="Times New Roman" w:hAnsi="Times New Roman" w:cs="Times New Roman"/>
          <w:sz w:val="28"/>
          <w:szCs w:val="28"/>
        </w:rPr>
        <w:t xml:space="preserve">Разработка проводятся на основании Договора Между ЛДПК и </w:t>
      </w:r>
      <w:r w:rsidRPr="00F942AA">
        <w:rPr>
          <w:rFonts w:ascii="Times New Roman" w:eastAsia="Times New Roman" w:hAnsi="Times New Roman" w:cs="Times New Roman"/>
          <w:sz w:val="28"/>
          <w:szCs w:val="24"/>
          <w:lang w:eastAsia="ru-RU"/>
        </w:rPr>
        <w:t>ООО «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Безопасный город»</w:t>
      </w:r>
      <w:r w:rsidRPr="0031499F">
        <w:rPr>
          <w:rFonts w:ascii="Times New Roman" w:hAnsi="Times New Roman" w:cs="Times New Roman"/>
          <w:sz w:val="28"/>
          <w:szCs w:val="28"/>
        </w:rPr>
        <w:t xml:space="preserve"> №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1499F">
        <w:rPr>
          <w:rFonts w:ascii="Times New Roman" w:hAnsi="Times New Roman" w:cs="Times New Roman"/>
          <w:sz w:val="28"/>
          <w:szCs w:val="28"/>
        </w:rPr>
        <w:t>.</w:t>
      </w:r>
    </w:p>
    <w:p w:rsidR="000F4039" w:rsidRPr="0031499F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99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Безопасный город</w:t>
      </w:r>
      <w:r w:rsidRPr="0031499F">
        <w:rPr>
          <w:rFonts w:ascii="Times New Roman" w:hAnsi="Times New Roman" w:cs="Times New Roman"/>
          <w:sz w:val="28"/>
          <w:szCs w:val="28"/>
        </w:rPr>
        <w:t>»</w:t>
      </w:r>
    </w:p>
    <w:p w:rsidR="000F4039" w:rsidRPr="0031499F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99F">
        <w:rPr>
          <w:rFonts w:ascii="Times New Roman" w:hAnsi="Times New Roman" w:cs="Times New Roman"/>
          <w:sz w:val="28"/>
          <w:szCs w:val="28"/>
        </w:rPr>
        <w:lastRenderedPageBreak/>
        <w:t>Наименование работы: Сайт «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Безопасный город</w:t>
      </w:r>
      <w:r w:rsidRPr="0031499F">
        <w:rPr>
          <w:rFonts w:ascii="Times New Roman" w:hAnsi="Times New Roman" w:cs="Times New Roman"/>
          <w:sz w:val="28"/>
          <w:szCs w:val="28"/>
        </w:rPr>
        <w:t>».</w:t>
      </w:r>
    </w:p>
    <w:p w:rsidR="000F4039" w:rsidRPr="009044A1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4A1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</w:t>
      </w:r>
    </w:p>
    <w:p w:rsidR="000F4039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039">
        <w:rPr>
          <w:rFonts w:ascii="Times New Roman" w:hAnsi="Times New Roman" w:cs="Times New Roman"/>
          <w:sz w:val="28"/>
          <w:szCs w:val="28"/>
        </w:rPr>
        <w:t xml:space="preserve">Разработка направлена на создание удобной и функциональной онлайн-платформы для </w:t>
      </w:r>
      <w:r>
        <w:rPr>
          <w:rFonts w:ascii="Times New Roman" w:hAnsi="Times New Roman" w:cs="Times New Roman"/>
          <w:sz w:val="28"/>
          <w:szCs w:val="28"/>
        </w:rPr>
        <w:t>создания заявлений и</w:t>
      </w:r>
      <w:r w:rsidRPr="000F4039">
        <w:rPr>
          <w:rFonts w:ascii="Times New Roman" w:hAnsi="Times New Roman" w:cs="Times New Roman"/>
          <w:sz w:val="28"/>
          <w:szCs w:val="28"/>
        </w:rPr>
        <w:t xml:space="preserve"> внедрения проекта «Безопасный город» является повышение общего уровня общественной безопасности, правопорядка и безопасности среды обитания.</w:t>
      </w:r>
    </w:p>
    <w:p w:rsidR="000F4039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4A1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</w:t>
      </w:r>
    </w:p>
    <w:p w:rsidR="000F4039" w:rsidRPr="00CB527F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BF6">
        <w:rPr>
          <w:rFonts w:ascii="Times New Roman" w:hAnsi="Times New Roman" w:cs="Times New Roman"/>
          <w:sz w:val="28"/>
          <w:szCs w:val="28"/>
        </w:rPr>
        <w:t>Разработать</w:t>
      </w:r>
      <w:r>
        <w:rPr>
          <w:rFonts w:ascii="Times New Roman" w:hAnsi="Times New Roman" w:cs="Times New Roman"/>
          <w:sz w:val="28"/>
          <w:szCs w:val="28"/>
        </w:rPr>
        <w:t xml:space="preserve"> и интегрировать программные модули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46F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46F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46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7F0B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CB527F">
        <w:rPr>
          <w:rFonts w:ascii="Times New Roman" w:hAnsi="Times New Roman" w:cs="Times New Roman"/>
          <w:sz w:val="28"/>
          <w:szCs w:val="28"/>
        </w:rPr>
        <w:t>.</w:t>
      </w:r>
    </w:p>
    <w:p w:rsidR="000F4039" w:rsidRPr="009044A1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4A1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</w:p>
    <w:p w:rsidR="000F4039" w:rsidRPr="000F4039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039">
        <w:rPr>
          <w:rFonts w:ascii="Times New Roman" w:hAnsi="Times New Roman" w:cs="Times New Roman"/>
          <w:sz w:val="28"/>
          <w:szCs w:val="28"/>
        </w:rPr>
        <w:t>1. Авторизация: на сайте должна быть возможность внести в базу данные пользователя с последующей авторизацией используя логин и пароль.</w:t>
      </w:r>
    </w:p>
    <w:p w:rsidR="000F4039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039">
        <w:rPr>
          <w:rFonts w:ascii="Times New Roman" w:hAnsi="Times New Roman" w:cs="Times New Roman"/>
          <w:sz w:val="28"/>
          <w:szCs w:val="28"/>
        </w:rPr>
        <w:t>2. Интерфейс обратной связи: по окончанию оформления заявки, результаты должны предъявляться пользователю, и содержать все входные данные: название, описание, адрес.</w:t>
      </w:r>
    </w:p>
    <w:p w:rsidR="000F4039" w:rsidRPr="009044A1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4A1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составу выполняемых функций: </w:t>
      </w:r>
    </w:p>
    <w:p w:rsidR="000F4039" w:rsidRPr="009044A1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044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Регистрация/Авторизация</w:t>
      </w:r>
    </w:p>
    <w:p w:rsidR="000F4039" w:rsidRPr="0031499F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99F">
        <w:rPr>
          <w:rFonts w:ascii="Times New Roman" w:hAnsi="Times New Roman" w:cs="Times New Roman"/>
          <w:sz w:val="28"/>
          <w:szCs w:val="28"/>
        </w:rPr>
        <w:t>•</w:t>
      </w:r>
      <w:r w:rsidRPr="0031499F">
        <w:rPr>
          <w:rFonts w:ascii="Times New Roman" w:hAnsi="Times New Roman" w:cs="Times New Roman"/>
          <w:sz w:val="28"/>
          <w:szCs w:val="28"/>
        </w:rPr>
        <w:tab/>
        <w:t>Регистрация пользователя</w:t>
      </w:r>
    </w:p>
    <w:p w:rsidR="000F4039" w:rsidRPr="0031499F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99F">
        <w:rPr>
          <w:rFonts w:ascii="Times New Roman" w:hAnsi="Times New Roman" w:cs="Times New Roman"/>
          <w:sz w:val="28"/>
          <w:szCs w:val="28"/>
        </w:rPr>
        <w:t>•</w:t>
      </w:r>
      <w:r w:rsidRPr="0031499F">
        <w:rPr>
          <w:rFonts w:ascii="Times New Roman" w:hAnsi="Times New Roman" w:cs="Times New Roman"/>
          <w:sz w:val="28"/>
          <w:szCs w:val="28"/>
        </w:rPr>
        <w:tab/>
        <w:t>Авторизация пользователя</w:t>
      </w:r>
    </w:p>
    <w:p w:rsidR="000F4039" w:rsidRPr="009044A1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Интерфейс тестирования</w:t>
      </w:r>
    </w:p>
    <w:p w:rsidR="000F4039" w:rsidRPr="0031499F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99F">
        <w:rPr>
          <w:rFonts w:ascii="Times New Roman" w:hAnsi="Times New Roman" w:cs="Times New Roman"/>
          <w:sz w:val="28"/>
          <w:szCs w:val="28"/>
        </w:rPr>
        <w:t>•</w:t>
      </w:r>
      <w:r w:rsidRPr="0031499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Таблица заявлений</w:t>
      </w:r>
    </w:p>
    <w:p w:rsidR="000F4039" w:rsidRPr="009044A1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Обратная связь</w:t>
      </w:r>
    </w:p>
    <w:p w:rsidR="000F4039" w:rsidRPr="0031499F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99F">
        <w:rPr>
          <w:rFonts w:ascii="Times New Roman" w:hAnsi="Times New Roman" w:cs="Times New Roman"/>
          <w:sz w:val="28"/>
          <w:szCs w:val="28"/>
        </w:rPr>
        <w:t>•</w:t>
      </w:r>
      <w:r w:rsidRPr="0031499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Через почту и номер телефона</w:t>
      </w:r>
    </w:p>
    <w:p w:rsidR="000F4039" w:rsidRPr="009044A1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4A1">
        <w:rPr>
          <w:rFonts w:ascii="Times New Roman" w:hAnsi="Times New Roman" w:cs="Times New Roman"/>
          <w:b/>
          <w:bCs/>
          <w:sz w:val="28"/>
          <w:szCs w:val="28"/>
        </w:rPr>
        <w:t>Требования к организации входных данных:</w:t>
      </w:r>
    </w:p>
    <w:p w:rsidR="000F4039" w:rsidRPr="0031499F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99F">
        <w:rPr>
          <w:rFonts w:ascii="Times New Roman" w:hAnsi="Times New Roman" w:cs="Times New Roman"/>
          <w:sz w:val="28"/>
          <w:szCs w:val="28"/>
        </w:rPr>
        <w:t>Входные данные сайта организованы в БД «</w:t>
      </w:r>
      <w:proofErr w:type="spellStart"/>
      <w:r w:rsidR="00C051AA">
        <w:rPr>
          <w:rFonts w:ascii="Times New Roman" w:hAnsi="Times New Roman" w:cs="Times New Roman"/>
          <w:sz w:val="28"/>
          <w:szCs w:val="28"/>
          <w:lang w:val="en-US"/>
        </w:rPr>
        <w:t>Prisma</w:t>
      </w:r>
      <w:proofErr w:type="spellEnd"/>
      <w:r w:rsidRPr="0031499F">
        <w:rPr>
          <w:rFonts w:ascii="Times New Roman" w:hAnsi="Times New Roman" w:cs="Times New Roman"/>
          <w:sz w:val="28"/>
          <w:szCs w:val="28"/>
        </w:rPr>
        <w:t xml:space="preserve">» со следующими полями: </w:t>
      </w:r>
      <w:proofErr w:type="spellStart"/>
      <w:r w:rsidRPr="0031499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1499F">
        <w:rPr>
          <w:rFonts w:ascii="Times New Roman" w:hAnsi="Times New Roman" w:cs="Times New Roman"/>
          <w:sz w:val="28"/>
          <w:szCs w:val="28"/>
        </w:rPr>
        <w:t xml:space="preserve">, </w:t>
      </w:r>
      <w:r w:rsidR="00C051A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149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3149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="00C051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051A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C051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051AA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="00C051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051AA">
        <w:rPr>
          <w:rFonts w:ascii="Times New Roman" w:hAnsi="Times New Roman" w:cs="Times New Roman"/>
          <w:sz w:val="28"/>
          <w:szCs w:val="28"/>
        </w:rPr>
        <w:t>patronymic</w:t>
      </w:r>
      <w:proofErr w:type="spellEnd"/>
      <w:r w:rsidR="00C051AA" w:rsidRPr="00C051AA">
        <w:rPr>
          <w:rFonts w:ascii="Times New Roman" w:hAnsi="Times New Roman" w:cs="Times New Roman"/>
          <w:sz w:val="28"/>
          <w:szCs w:val="28"/>
        </w:rPr>
        <w:t xml:space="preserve">, </w:t>
      </w:r>
      <w:r w:rsidR="00C051AA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31499F">
        <w:rPr>
          <w:rFonts w:ascii="Times New Roman" w:hAnsi="Times New Roman" w:cs="Times New Roman"/>
          <w:sz w:val="28"/>
          <w:szCs w:val="28"/>
        </w:rPr>
        <w:t>.</w:t>
      </w:r>
    </w:p>
    <w:p w:rsidR="000F4039" w:rsidRPr="009044A1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4A1">
        <w:rPr>
          <w:rFonts w:ascii="Times New Roman" w:hAnsi="Times New Roman" w:cs="Times New Roman"/>
          <w:b/>
          <w:bCs/>
          <w:sz w:val="28"/>
          <w:szCs w:val="28"/>
        </w:rPr>
        <w:t>Требования к организации выходных данных:</w:t>
      </w:r>
    </w:p>
    <w:p w:rsidR="000F4039" w:rsidRPr="0031499F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99F">
        <w:rPr>
          <w:rFonts w:ascii="Times New Roman" w:hAnsi="Times New Roman" w:cs="Times New Roman"/>
          <w:sz w:val="28"/>
          <w:szCs w:val="28"/>
        </w:rPr>
        <w:t>Страница «</w:t>
      </w:r>
      <w:r>
        <w:rPr>
          <w:rFonts w:ascii="Times New Roman" w:hAnsi="Times New Roman" w:cs="Times New Roman"/>
          <w:sz w:val="28"/>
          <w:szCs w:val="28"/>
        </w:rPr>
        <w:t>Личный кабинет</w:t>
      </w:r>
      <w:r w:rsidRPr="0031499F">
        <w:rPr>
          <w:rFonts w:ascii="Times New Roman" w:hAnsi="Times New Roman" w:cs="Times New Roman"/>
          <w:sz w:val="28"/>
          <w:szCs w:val="28"/>
        </w:rPr>
        <w:t>»:</w:t>
      </w:r>
    </w:p>
    <w:p w:rsidR="000F4039" w:rsidRDefault="000F4039" w:rsidP="00C05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99F">
        <w:rPr>
          <w:rFonts w:ascii="Times New Roman" w:hAnsi="Times New Roman" w:cs="Times New Roman"/>
          <w:sz w:val="28"/>
          <w:szCs w:val="28"/>
        </w:rPr>
        <w:t>•</w:t>
      </w:r>
      <w:r w:rsidRPr="0031499F">
        <w:rPr>
          <w:rFonts w:ascii="Times New Roman" w:hAnsi="Times New Roman" w:cs="Times New Roman"/>
          <w:sz w:val="28"/>
          <w:szCs w:val="28"/>
        </w:rPr>
        <w:tab/>
      </w:r>
      <w:r w:rsidR="00C051AA">
        <w:rPr>
          <w:rFonts w:ascii="Times New Roman" w:hAnsi="Times New Roman" w:cs="Times New Roman"/>
          <w:sz w:val="28"/>
          <w:szCs w:val="28"/>
        </w:rPr>
        <w:t>Информация о пользователе</w:t>
      </w:r>
    </w:p>
    <w:p w:rsidR="00C051AA" w:rsidRPr="0031499F" w:rsidRDefault="00C051AA" w:rsidP="00C05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99F">
        <w:rPr>
          <w:rFonts w:ascii="Times New Roman" w:hAnsi="Times New Roman" w:cs="Times New Roman"/>
          <w:sz w:val="28"/>
          <w:szCs w:val="28"/>
        </w:rPr>
        <w:t>•</w:t>
      </w:r>
      <w:r w:rsidRPr="0031499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Таблица с заявлениями, созданными пользователем и другими</w:t>
      </w:r>
    </w:p>
    <w:p w:rsidR="000F4039" w:rsidRPr="009044A1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4A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Требования к надежности. </w:t>
      </w:r>
    </w:p>
    <w:p w:rsidR="000F4039" w:rsidRPr="0031499F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99F">
        <w:rPr>
          <w:rFonts w:ascii="Times New Roman" w:hAnsi="Times New Roman" w:cs="Times New Roman"/>
          <w:sz w:val="28"/>
          <w:szCs w:val="28"/>
        </w:rPr>
        <w:t>На сайте есть регистрация и авторизация пользователей с использованием адреса электронной почты, также имеется возможность выхода из аккаунта. Если пользователь забыл пароль он может восстановить его с помощью электронной почты.</w:t>
      </w:r>
    </w:p>
    <w:p w:rsidR="000F4039" w:rsidRPr="009044A1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4A1">
        <w:rPr>
          <w:rFonts w:ascii="Times New Roman" w:hAnsi="Times New Roman" w:cs="Times New Roman"/>
          <w:b/>
          <w:bCs/>
          <w:sz w:val="28"/>
          <w:szCs w:val="28"/>
        </w:rPr>
        <w:t>Условия эксплуатации</w:t>
      </w:r>
    </w:p>
    <w:p w:rsidR="000F4039" w:rsidRPr="0031499F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99F">
        <w:rPr>
          <w:rFonts w:ascii="Times New Roman" w:hAnsi="Times New Roman" w:cs="Times New Roman"/>
          <w:sz w:val="28"/>
          <w:szCs w:val="28"/>
        </w:rPr>
        <w:t>Программа не требует специального обслуживания. Для ознакомления с полным функционалом пользователь должен прочесть Руководство пользователя. Для работы с программой требуются хотя бы навыки работы с браузером.</w:t>
      </w:r>
    </w:p>
    <w:p w:rsidR="000F4039" w:rsidRPr="009044A1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4A1">
        <w:rPr>
          <w:rFonts w:ascii="Times New Roman" w:hAnsi="Times New Roman" w:cs="Times New Roman"/>
          <w:b/>
          <w:bCs/>
          <w:sz w:val="28"/>
          <w:szCs w:val="28"/>
        </w:rPr>
        <w:t>Климатические условия эксплуатации:</w:t>
      </w:r>
    </w:p>
    <w:p w:rsidR="000F4039" w:rsidRPr="0031499F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99F">
        <w:rPr>
          <w:rFonts w:ascii="Times New Roman" w:hAnsi="Times New Roman" w:cs="Times New Roman"/>
          <w:sz w:val="28"/>
          <w:szCs w:val="28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:rsidR="000F4039" w:rsidRPr="009044A1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4A1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и параметрам технических средств</w:t>
      </w:r>
    </w:p>
    <w:p w:rsidR="000F4039" w:rsidRPr="009044A1" w:rsidRDefault="000F4039" w:rsidP="000F403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044A1">
        <w:rPr>
          <w:rFonts w:ascii="Times New Roman" w:hAnsi="Times New Roman" w:cs="Times New Roman"/>
          <w:sz w:val="24"/>
          <w:szCs w:val="24"/>
        </w:rPr>
        <w:t>Таблица №1 «Технические параметры»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2"/>
        <w:gridCol w:w="4663"/>
      </w:tblGrid>
      <w:tr w:rsidR="000F4039" w:rsidRPr="00C051AA" w:rsidTr="00C86F1E">
        <w:tc>
          <w:tcPr>
            <w:tcW w:w="4682" w:type="dxa"/>
          </w:tcPr>
          <w:p w:rsidR="000F4039" w:rsidRPr="009044A1" w:rsidRDefault="000F4039" w:rsidP="00C86F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9671E">
              <w:rPr>
                <w:rFonts w:ascii="Times New Roman" w:eastAsia="Calibri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663" w:type="dxa"/>
          </w:tcPr>
          <w:p w:rsidR="000F4039" w:rsidRPr="009044A1" w:rsidRDefault="000F4039" w:rsidP="00C051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7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Intel Core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I5 </w:t>
            </w:r>
            <w:r w:rsidR="00C051AA" w:rsidRPr="00C051A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10400</w:t>
            </w:r>
            <w:r w:rsidR="00C051A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  <w:r w:rsidRPr="006967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OEM</w:t>
            </w:r>
          </w:p>
        </w:tc>
      </w:tr>
      <w:tr w:rsidR="000F4039" w:rsidRPr="00CC7BB1" w:rsidTr="00C86F1E">
        <w:tc>
          <w:tcPr>
            <w:tcW w:w="4682" w:type="dxa"/>
          </w:tcPr>
          <w:p w:rsidR="000F4039" w:rsidRPr="009044A1" w:rsidRDefault="000F4039" w:rsidP="00C86F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44A1">
              <w:rPr>
                <w:rFonts w:ascii="Times New Roman" w:eastAsia="Calibri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4663" w:type="dxa"/>
          </w:tcPr>
          <w:p w:rsidR="000F4039" w:rsidRPr="009044A1" w:rsidRDefault="000F4039" w:rsidP="00C86F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4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От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 w:rsidRPr="009044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Гб</w:t>
            </w:r>
          </w:p>
        </w:tc>
      </w:tr>
      <w:tr w:rsidR="000F4039" w:rsidRPr="00CC7BB1" w:rsidTr="00C86F1E">
        <w:tc>
          <w:tcPr>
            <w:tcW w:w="4682" w:type="dxa"/>
          </w:tcPr>
          <w:p w:rsidR="000F4039" w:rsidRPr="009044A1" w:rsidRDefault="000F4039" w:rsidP="00C86F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44A1">
              <w:rPr>
                <w:rFonts w:ascii="Times New Roman" w:eastAsia="Calibri" w:hAnsi="Times New Roman" w:cs="Times New Roman"/>
                <w:sz w:val="28"/>
                <w:szCs w:val="28"/>
              </w:rPr>
              <w:t>Разрешение экрана</w:t>
            </w:r>
          </w:p>
        </w:tc>
        <w:tc>
          <w:tcPr>
            <w:tcW w:w="4663" w:type="dxa"/>
          </w:tcPr>
          <w:p w:rsidR="000F4039" w:rsidRPr="009044A1" w:rsidRDefault="000F4039" w:rsidP="00C86F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44A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От</w:t>
            </w:r>
            <w:proofErr w:type="spellEnd"/>
            <w:r w:rsidRPr="009044A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1024</w:t>
            </w:r>
            <w:r w:rsidRPr="009044A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768</w:t>
            </w:r>
          </w:p>
        </w:tc>
      </w:tr>
      <w:tr w:rsidR="000F4039" w:rsidRPr="00CC7BB1" w:rsidTr="00C86F1E">
        <w:tc>
          <w:tcPr>
            <w:tcW w:w="4682" w:type="dxa"/>
          </w:tcPr>
          <w:p w:rsidR="000F4039" w:rsidRPr="009044A1" w:rsidRDefault="000F4039" w:rsidP="00C86F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44A1">
              <w:rPr>
                <w:rFonts w:ascii="Times New Roman" w:eastAsia="Calibri" w:hAnsi="Times New Roman" w:cs="Times New Roman"/>
                <w:sz w:val="28"/>
                <w:szCs w:val="28"/>
              </w:rPr>
              <w:t>Размер экрана</w:t>
            </w:r>
          </w:p>
        </w:tc>
        <w:tc>
          <w:tcPr>
            <w:tcW w:w="4663" w:type="dxa"/>
          </w:tcPr>
          <w:p w:rsidR="000F4039" w:rsidRPr="009044A1" w:rsidRDefault="000F4039" w:rsidP="00C86F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44A1">
              <w:rPr>
                <w:rFonts w:ascii="Times New Roman" w:eastAsia="Calibri" w:hAnsi="Times New Roman" w:cs="Times New Roman"/>
                <w:sz w:val="28"/>
                <w:szCs w:val="28"/>
              </w:rPr>
              <w:t>От 20 дюймов</w:t>
            </w:r>
          </w:p>
        </w:tc>
      </w:tr>
      <w:tr w:rsidR="000F4039" w:rsidRPr="00CC7BB1" w:rsidTr="00C86F1E">
        <w:tc>
          <w:tcPr>
            <w:tcW w:w="4682" w:type="dxa"/>
          </w:tcPr>
          <w:p w:rsidR="000F4039" w:rsidRPr="009044A1" w:rsidRDefault="000F4039" w:rsidP="00C86F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44A1">
              <w:rPr>
                <w:rFonts w:ascii="Times New Roman" w:eastAsia="Calibri" w:hAnsi="Times New Roman" w:cs="Times New Roman"/>
                <w:sz w:val="28"/>
                <w:szCs w:val="28"/>
              </w:rPr>
              <w:t>Устройства ввода</w:t>
            </w:r>
          </w:p>
        </w:tc>
        <w:tc>
          <w:tcPr>
            <w:tcW w:w="4663" w:type="dxa"/>
          </w:tcPr>
          <w:p w:rsidR="000F4039" w:rsidRPr="009044A1" w:rsidRDefault="000F4039" w:rsidP="00C86F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44A1">
              <w:rPr>
                <w:rFonts w:ascii="Times New Roman" w:eastAsia="Calibri" w:hAnsi="Times New Roman" w:cs="Times New Roman"/>
                <w:sz w:val="28"/>
                <w:szCs w:val="28"/>
              </w:rPr>
              <w:t>Мышь, клавиатура</w:t>
            </w:r>
          </w:p>
        </w:tc>
      </w:tr>
      <w:tr w:rsidR="000F4039" w:rsidRPr="00CC7BB1" w:rsidTr="00C86F1E">
        <w:tc>
          <w:tcPr>
            <w:tcW w:w="4682" w:type="dxa"/>
          </w:tcPr>
          <w:p w:rsidR="000F4039" w:rsidRPr="009044A1" w:rsidRDefault="000F4039" w:rsidP="00C86F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44A1">
              <w:rPr>
                <w:rFonts w:ascii="Times New Roman" w:eastAsia="Calibri" w:hAnsi="Times New Roman" w:cs="Times New Roman"/>
                <w:sz w:val="28"/>
                <w:szCs w:val="28"/>
              </w:rPr>
              <w:t>Дисковое пространство</w:t>
            </w:r>
          </w:p>
        </w:tc>
        <w:tc>
          <w:tcPr>
            <w:tcW w:w="4663" w:type="dxa"/>
          </w:tcPr>
          <w:p w:rsidR="000F4039" w:rsidRPr="009044A1" w:rsidRDefault="000F4039" w:rsidP="00C86F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44A1">
              <w:rPr>
                <w:rFonts w:ascii="Times New Roman" w:eastAsia="Calibri" w:hAnsi="Times New Roman" w:cs="Times New Roman"/>
                <w:sz w:val="28"/>
                <w:szCs w:val="28"/>
              </w:rPr>
              <w:t>1 Гб</w:t>
            </w:r>
          </w:p>
        </w:tc>
      </w:tr>
      <w:tr w:rsidR="000F4039" w:rsidRPr="00CC7BB1" w:rsidTr="00C86F1E">
        <w:tc>
          <w:tcPr>
            <w:tcW w:w="4682" w:type="dxa"/>
          </w:tcPr>
          <w:p w:rsidR="000F4039" w:rsidRPr="0069671E" w:rsidRDefault="000F4039" w:rsidP="00C86F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671E">
              <w:rPr>
                <w:rFonts w:ascii="Times New Roman" w:eastAsia="Calibri" w:hAnsi="Times New Roman" w:cs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4663" w:type="dxa"/>
          </w:tcPr>
          <w:p w:rsidR="000F4039" w:rsidRPr="009044A1" w:rsidRDefault="000F4039" w:rsidP="00C86F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67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Windows 7, 8, </w:t>
            </w:r>
            <w:r w:rsidRPr="0069671E">
              <w:rPr>
                <w:rFonts w:ascii="Times New Roman" w:eastAsia="Calibri" w:hAnsi="Times New Roman" w:cs="Times New Roman"/>
                <w:sz w:val="28"/>
                <w:szCs w:val="28"/>
              </w:rPr>
              <w:t>10 и выше</w:t>
            </w:r>
          </w:p>
        </w:tc>
      </w:tr>
      <w:tr w:rsidR="000F4039" w:rsidRPr="00A647B3" w:rsidTr="00C86F1E">
        <w:tc>
          <w:tcPr>
            <w:tcW w:w="4682" w:type="dxa"/>
          </w:tcPr>
          <w:p w:rsidR="000F4039" w:rsidRPr="009044A1" w:rsidRDefault="000F4039" w:rsidP="00C86F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44A1">
              <w:rPr>
                <w:rFonts w:ascii="Times New Roman" w:eastAsia="Calibri" w:hAnsi="Times New Roman" w:cs="Times New Roman"/>
                <w:sz w:val="28"/>
                <w:szCs w:val="28"/>
              </w:rPr>
              <w:t>Браузер</w:t>
            </w:r>
          </w:p>
        </w:tc>
        <w:tc>
          <w:tcPr>
            <w:tcW w:w="4663" w:type="dxa"/>
          </w:tcPr>
          <w:p w:rsidR="000F4039" w:rsidRPr="009044A1" w:rsidRDefault="000F4039" w:rsidP="00C86F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4A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</w:tr>
    </w:tbl>
    <w:p w:rsidR="000F4039" w:rsidRPr="00A647B3" w:rsidRDefault="000F4039" w:rsidP="000F40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4039" w:rsidRPr="009044A1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4A1">
        <w:rPr>
          <w:rFonts w:ascii="Times New Roman" w:hAnsi="Times New Roman" w:cs="Times New Roman"/>
          <w:b/>
          <w:bCs/>
          <w:sz w:val="28"/>
          <w:szCs w:val="28"/>
        </w:rPr>
        <w:t>Требования к информационной и программной совместимости</w:t>
      </w:r>
    </w:p>
    <w:p w:rsidR="000F4039" w:rsidRPr="0031499F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99F">
        <w:rPr>
          <w:rFonts w:ascii="Times New Roman" w:hAnsi="Times New Roman" w:cs="Times New Roman"/>
          <w:sz w:val="28"/>
          <w:szCs w:val="28"/>
        </w:rPr>
        <w:t xml:space="preserve">Для корректной работы сайта необходимо: ОС </w:t>
      </w:r>
      <w:proofErr w:type="spellStart"/>
      <w:r w:rsidRPr="0031499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1499F">
        <w:rPr>
          <w:rFonts w:ascii="Times New Roman" w:hAnsi="Times New Roman" w:cs="Times New Roman"/>
          <w:sz w:val="28"/>
          <w:szCs w:val="28"/>
        </w:rPr>
        <w:t xml:space="preserve"> 7 и выше, Браузер: </w:t>
      </w:r>
      <w:proofErr w:type="spellStart"/>
      <w:r w:rsidRPr="0031499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314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99F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31499F">
        <w:rPr>
          <w:rFonts w:ascii="Times New Roman" w:hAnsi="Times New Roman" w:cs="Times New Roman"/>
          <w:sz w:val="28"/>
          <w:szCs w:val="28"/>
        </w:rPr>
        <w:t>.</w:t>
      </w:r>
    </w:p>
    <w:p w:rsidR="000F4039" w:rsidRPr="009044A1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4A1">
        <w:rPr>
          <w:rFonts w:ascii="Times New Roman" w:hAnsi="Times New Roman" w:cs="Times New Roman"/>
          <w:b/>
          <w:bCs/>
          <w:sz w:val="28"/>
          <w:szCs w:val="28"/>
        </w:rPr>
        <w:t xml:space="preserve">Специальные требования </w:t>
      </w:r>
    </w:p>
    <w:p w:rsidR="000F4039" w:rsidRPr="0031499F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99F">
        <w:rPr>
          <w:rFonts w:ascii="Times New Roman" w:hAnsi="Times New Roman" w:cs="Times New Roman"/>
          <w:sz w:val="28"/>
          <w:szCs w:val="28"/>
        </w:rPr>
        <w:lastRenderedPageBreak/>
        <w:t xml:space="preserve">Сайт должен обеспечивать взаимодействие с пользователем посредством графического пользовательского интерфейса. </w:t>
      </w:r>
    </w:p>
    <w:p w:rsidR="000F4039" w:rsidRPr="009044A1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4A1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</w:t>
      </w:r>
    </w:p>
    <w:p w:rsidR="000F4039" w:rsidRPr="0031499F" w:rsidRDefault="000F4039" w:rsidP="000F40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99F">
        <w:rPr>
          <w:rFonts w:ascii="Times New Roman" w:hAnsi="Times New Roman" w:cs="Times New Roman"/>
          <w:sz w:val="28"/>
          <w:szCs w:val="28"/>
        </w:rPr>
        <w:t>В ходе разработки сайта должны быть подготовлены следующие программные документы: текст сайта, описание сайта, программа и методика испытаний, рук</w:t>
      </w:r>
      <w:bookmarkStart w:id="1" w:name="_GoBack"/>
      <w:bookmarkEnd w:id="1"/>
      <w:r w:rsidRPr="0031499F">
        <w:rPr>
          <w:rFonts w:ascii="Times New Roman" w:hAnsi="Times New Roman" w:cs="Times New Roman"/>
          <w:sz w:val="28"/>
          <w:szCs w:val="28"/>
        </w:rPr>
        <w:t>оводство пользователя, руководство программиста, руководство системного администратора.</w:t>
      </w:r>
    </w:p>
    <w:p w:rsidR="00D7163C" w:rsidRDefault="00D7163C"/>
    <w:p w:rsidR="00F81819" w:rsidRPr="00F81819" w:rsidRDefault="00F81819">
      <w:pPr>
        <w:rPr>
          <w:rFonts w:ascii="Times New Roman" w:hAnsi="Times New Roman" w:cs="Times New Roman"/>
          <w:b/>
          <w:sz w:val="28"/>
          <w:szCs w:val="28"/>
        </w:rPr>
      </w:pPr>
      <w:r w:rsidRPr="00F81819">
        <w:rPr>
          <w:rFonts w:ascii="Times New Roman" w:hAnsi="Times New Roman" w:cs="Times New Roman"/>
          <w:b/>
          <w:sz w:val="28"/>
          <w:szCs w:val="28"/>
        </w:rPr>
        <w:t>3. Приложение</w:t>
      </w:r>
    </w:p>
    <w:p w:rsidR="00F81819" w:rsidRPr="003424F1" w:rsidRDefault="00F81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181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424F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424F1" w:rsidRPr="003424F1">
        <w:rPr>
          <w:rFonts w:ascii="Times New Roman" w:hAnsi="Times New Roman" w:cs="Times New Roman"/>
          <w:sz w:val="28"/>
          <w:szCs w:val="28"/>
          <w:lang w:val="en-US"/>
        </w:rPr>
        <w:t>https://github.com/TrueSamLas/SafeCityExam</w:t>
      </w:r>
    </w:p>
    <w:p w:rsidR="00F81819" w:rsidRPr="003424F1" w:rsidRDefault="00F81819">
      <w:pPr>
        <w:rPr>
          <w:lang w:val="en-US"/>
        </w:rPr>
      </w:pPr>
    </w:p>
    <w:p w:rsidR="00C051AA" w:rsidRDefault="00F818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C051AA" w:rsidRPr="00F8181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81819">
        <w:rPr>
          <w:rFonts w:ascii="Times New Roman" w:hAnsi="Times New Roman" w:cs="Times New Roman"/>
          <w:b/>
          <w:sz w:val="28"/>
          <w:szCs w:val="28"/>
        </w:rPr>
        <w:t>Оценка качества приложения по основным показателям</w:t>
      </w:r>
    </w:p>
    <w:p w:rsidR="00F81819" w:rsidRPr="00F81819" w:rsidRDefault="00F81819" w:rsidP="00F8181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044A1">
        <w:rPr>
          <w:rFonts w:ascii="Times New Roman" w:hAnsi="Times New Roman" w:cs="Times New Roman"/>
          <w:sz w:val="24"/>
          <w:szCs w:val="24"/>
        </w:rPr>
        <w:t>Таблица №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044A1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Таблица качества</w:t>
      </w:r>
      <w:r w:rsidRPr="009044A1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W w:w="8940" w:type="dxa"/>
        <w:tblInd w:w="-10" w:type="dxa"/>
        <w:tblLook w:val="04A0" w:firstRow="1" w:lastRow="0" w:firstColumn="1" w:lastColumn="0" w:noHBand="0" w:noVBand="1"/>
      </w:tblPr>
      <w:tblGrid>
        <w:gridCol w:w="2704"/>
        <w:gridCol w:w="3051"/>
        <w:gridCol w:w="1111"/>
        <w:gridCol w:w="1417"/>
        <w:gridCol w:w="1062"/>
      </w:tblGrid>
      <w:tr w:rsidR="00F81819" w:rsidRPr="00C051AA" w:rsidTr="00F81819">
        <w:trPr>
          <w:trHeight w:val="360"/>
        </w:trPr>
        <w:tc>
          <w:tcPr>
            <w:tcW w:w="3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Показатели качества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Сущность показателя</w:t>
            </w:r>
          </w:p>
        </w:tc>
        <w:tc>
          <w:tcPr>
            <w:tcW w:w="1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Экспертная оценка (вес) </w:t>
            </w:r>
            <w:proofErr w:type="spellStart"/>
            <w:r w:rsidRPr="00C051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w</w:t>
            </w:r>
            <w:r w:rsidRPr="00C051AA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8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Оценка, установленная экспериментом, </w:t>
            </w:r>
            <w:proofErr w:type="spellStart"/>
            <w:r w:rsidRPr="00C051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r</w:t>
            </w:r>
            <w:r w:rsidRPr="00C051AA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3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Качество показателя</w:t>
            </w:r>
          </w:p>
        </w:tc>
      </w:tr>
      <w:tr w:rsidR="00F81819" w:rsidRPr="00C051AA" w:rsidTr="00F81819">
        <w:trPr>
          <w:trHeight w:val="12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Надежность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определяется </w:t>
            </w:r>
            <w:proofErr w:type="spellStart"/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бессбойностью</w:t>
            </w:r>
            <w:proofErr w:type="spellEnd"/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 устойчивостью в работе программ, точностью выполнения предписанных функций обработки, возможностью диагностики возникающих в процессе работы программ ошибок.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0,57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1.1. Последовательность проектирования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0,18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1.2. Правильность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0,25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1.3. Устойчивость к ошибкам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0,14</w:t>
            </w:r>
          </w:p>
        </w:tc>
      </w:tr>
      <w:tr w:rsidR="00F81819" w:rsidRPr="00C051AA" w:rsidTr="00F81819">
        <w:trPr>
          <w:trHeight w:val="124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Корректность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свойство безошибочной реализации требуемого алгоритма при отсутствии таких мешающих факторов, как ошибки входных данных, ошибки операторов ЭВМ (людей), сбои и отказы ЭВМ.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0,54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2.1. </w:t>
            </w:r>
            <w:proofErr w:type="spellStart"/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Прослеживаемость</w:t>
            </w:r>
            <w:proofErr w:type="spellEnd"/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0,24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2.2. Функциональная полнота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</w:tr>
      <w:tr w:rsidR="00F81819" w:rsidRPr="00C051AA" w:rsidTr="00F81819">
        <w:trPr>
          <w:trHeight w:val="70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    2.3. Последовательность проектирования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</w:tr>
      <w:tr w:rsidR="00F81819" w:rsidRPr="00C051AA" w:rsidTr="00F81819">
        <w:trPr>
          <w:trHeight w:val="9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Эффективность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способность ПО обеспечивать требуемый уровень производительности в соответствии с выделенными ресурсами, временем и другими условиями.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F81819" w:rsidRPr="00C051AA" w:rsidTr="00F81819">
        <w:trPr>
          <w:trHeight w:val="1920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Гибкость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устойчивость к его изменениям. Это означает, что добавление новой или изменение старой функциональность в гибкой системе требует меньше усилий, чем в негибкой. 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0,66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4.1. Расширяемость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0,42</w:t>
            </w:r>
          </w:p>
        </w:tc>
      </w:tr>
      <w:tr w:rsidR="00F81819" w:rsidRPr="00C051AA" w:rsidTr="00F81819">
        <w:trPr>
          <w:trHeight w:val="49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4.2. Широта использования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0,24</w:t>
            </w:r>
          </w:p>
        </w:tc>
      </w:tr>
      <w:tr w:rsidR="00F81819" w:rsidRPr="00C051AA" w:rsidTr="00F81819">
        <w:trPr>
          <w:trHeight w:val="1050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Функциональность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способность ПО решать задачи, которые </w:t>
            </w:r>
            <w:proofErr w:type="spellStart"/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соответсвуют</w:t>
            </w:r>
            <w:proofErr w:type="spellEnd"/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потребностям пользователя при заданных условиях </w:t>
            </w:r>
            <w:proofErr w:type="spellStart"/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оспользования</w:t>
            </w:r>
            <w:proofErr w:type="spellEnd"/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0,62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5.1. Защищённость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0,16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5.2. Согласованность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0,05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5.3. Соответствие стандартам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0,05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5.4. Функциональная пригодность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0,15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5.5. Способность к взаимодействию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0,21</w:t>
            </w:r>
          </w:p>
        </w:tc>
      </w:tr>
      <w:tr w:rsidR="00F81819" w:rsidRPr="00C051AA" w:rsidTr="00F81819">
        <w:trPr>
          <w:trHeight w:val="1590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 Эргономичность проектирования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основана на максимально возможной их интеграции с другими программами, обеспечении обмене данными в общих форматах представления (экспорт/импорт баз данных, внедрение или связывание объектов обработки и др.).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0,73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6.1. Ошибкоустойчивость/Целостность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0,12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6.2. Доступность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6.3. </w:t>
            </w:r>
            <w:proofErr w:type="spellStart"/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Коммуникативность</w:t>
            </w:r>
            <w:proofErr w:type="spellEnd"/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0,21</w:t>
            </w:r>
          </w:p>
        </w:tc>
      </w:tr>
      <w:tr w:rsidR="00F81819" w:rsidRPr="00C051AA" w:rsidTr="00F81819">
        <w:trPr>
          <w:trHeight w:val="9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 Целостность</w:t>
            </w:r>
          </w:p>
        </w:tc>
        <w:tc>
          <w:tcPr>
            <w:tcW w:w="88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Состояние программного обеспечения и данных, характеризующееся отсутствием изменений </w:t>
            </w:r>
            <w:r w:rsidRPr="00C051AA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преднамеренного или случайного характера.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0,56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7.1. Управление доступом</w:t>
            </w:r>
          </w:p>
        </w:tc>
        <w:tc>
          <w:tcPr>
            <w:tcW w:w="88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0,36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    7.2. Контроль за доступом</w:t>
            </w:r>
          </w:p>
        </w:tc>
        <w:tc>
          <w:tcPr>
            <w:tcW w:w="88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</w:tr>
      <w:tr w:rsidR="00F81819" w:rsidRPr="00C051AA" w:rsidTr="00F81819">
        <w:trPr>
          <w:trHeight w:val="1530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8. Функциональная совместимость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способность продукта или системы, интерфейсы которых полностью открыты, взаимодействовать и функционировать с другими продуктами или системами без каких-либо ограничений доступа и реализации.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8.1. Модульность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8.2. Унификация интерфейсов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0,24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8.3. Унификация данных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0,06</w:t>
            </w:r>
          </w:p>
        </w:tc>
      </w:tr>
      <w:tr w:rsidR="00F81819" w:rsidRPr="00C051AA" w:rsidTr="00F81819">
        <w:trPr>
          <w:trHeight w:val="900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9. </w:t>
            </w:r>
            <w:proofErr w:type="spellStart"/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Сопровождаемость</w:t>
            </w:r>
            <w:proofErr w:type="spellEnd"/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характеристики программного продукта, позволяющие минимизировать усилия по внесению в него изменений: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0,74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9.1. Простота работы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</w:t>
            </w:r>
          </w:p>
        </w:tc>
        <w:tc>
          <w:tcPr>
            <w:tcW w:w="13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0,14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9.2. Краткость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0,32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9.3. Информативность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0,18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9.4. Модульность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</w:tr>
      <w:tr w:rsidR="00F81819" w:rsidRPr="00C051AA" w:rsidTr="00F81819">
        <w:trPr>
          <w:trHeight w:val="6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 Модифицируемость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факторы качества, важные для разработки новой версии ПО;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0,75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10.1. Структурированность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0,35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10.2. </w:t>
            </w:r>
            <w:proofErr w:type="spellStart"/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Дополняемость</w:t>
            </w:r>
            <w:proofErr w:type="spellEnd"/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</w:t>
            </w:r>
          </w:p>
        </w:tc>
      </w:tr>
      <w:tr w:rsidR="00F81819" w:rsidRPr="00C051AA" w:rsidTr="00F81819">
        <w:trPr>
          <w:trHeight w:val="58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11. Мобильность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перенос По с одного окружения в другое.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0,76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11.1. Простота работы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0,32</w:t>
            </w:r>
          </w:p>
        </w:tc>
      </w:tr>
      <w:tr w:rsidR="00F81819" w:rsidRPr="00C051AA" w:rsidTr="00F81819">
        <w:trPr>
          <w:trHeight w:val="360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11.2. Независимость программной платформы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0,27</w:t>
            </w:r>
          </w:p>
        </w:tc>
      </w:tr>
      <w:tr w:rsidR="00F81819" w:rsidRPr="00C051AA" w:rsidTr="00F81819">
        <w:trPr>
          <w:trHeight w:val="360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11.3. Независимость от аппаратной платформы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0,12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11.4. Унификация данных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0,05</w:t>
            </w:r>
          </w:p>
        </w:tc>
      </w:tr>
      <w:tr w:rsidR="00F81819" w:rsidRPr="00C051AA" w:rsidTr="00F81819">
        <w:trPr>
          <w:trHeight w:val="1620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12. Возможность многократного использования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Программное средство, разработанное для конкретного применения, но с возможностью другого применения, или разработанное специально для многократного использования в различных проектах или для многофункционального использования в одном проекте.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0,63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12.1. Простота работы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0,15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    12.2. Широта использования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0,28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12.3. Независимость программной платформы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0,08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12.4. Независимость от аппаратной платформы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0,12</w:t>
            </w:r>
          </w:p>
        </w:tc>
      </w:tr>
      <w:tr w:rsidR="00F81819" w:rsidRPr="00C051AA" w:rsidTr="00F81819">
        <w:trPr>
          <w:trHeight w:val="12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13. Устойчивость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это способность программной системы должным образом реагировать на исключительные ситуации. Обработка исключительных ситуаций - процесс, направленный на достижение устойчивости.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F81819" w:rsidRPr="00C051AA" w:rsidTr="00F81819">
        <w:trPr>
          <w:trHeight w:val="133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14. Тестируемость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это степень, в которой программный артефакт (т. е. программная система, программный модуль, требования или проектный документ) поддерживает тестирование в данном контексте тестирования. 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0,68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14.1. Простота работы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0,14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14.2. Полнота протоколирования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0,18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14.3. Информативность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14.4. Расширяемость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0,14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14.5. Модульность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0,12</w:t>
            </w:r>
          </w:p>
        </w:tc>
      </w:tr>
      <w:tr w:rsidR="00F81819" w:rsidRPr="00C051AA" w:rsidTr="00F81819">
        <w:trPr>
          <w:trHeight w:val="106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15. Понятность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это свойство, характеризующее, насколько легко (или трудно) специалисту, сопровождающему программный продукт, понять его работу. 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0,63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15.1. Последовательность проектирования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15.2. Информативность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0,12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15.3. Структурированность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0,08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15.4. Краткость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0,05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15.5. Удобочитаемость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0,28</w:t>
            </w:r>
          </w:p>
        </w:tc>
      </w:tr>
      <w:tr w:rsidR="00F81819" w:rsidRPr="00C051AA" w:rsidTr="00F81819">
        <w:trPr>
          <w:trHeight w:val="870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16. Практичность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способность программного продукта быть понятным, изученным, использованным и привлекательным для пользователя при применении в заданных условиях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0,73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16.1. Удобство работы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0,12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16.2. Удобство обучения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0,21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    16.3. Способность к взаимодействию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</w:t>
            </w:r>
          </w:p>
        </w:tc>
      </w:tr>
      <w:tr w:rsidR="00F81819" w:rsidRPr="00C051AA" w:rsidTr="00F81819">
        <w:trPr>
          <w:trHeight w:val="9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17. Производительность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это мера того, насколько эффективно приложение использует ресурсы системы для выполнения действий, которые вы создали для этого.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F81819" w:rsidRPr="00C051AA" w:rsidTr="00F81819">
        <w:trPr>
          <w:trHeight w:val="9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18. Зрелость процесса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это инструмент, помогающий организации в оценке и определении степени зрелости ее </w:t>
            </w:r>
            <w:r w:rsidRPr="00C051AA">
              <w:rPr>
                <w:rFonts w:ascii="Times New Roman" w:eastAsia="Times New Roman" w:hAnsi="Times New Roman" w:cs="Times New Roman"/>
                <w:i/>
                <w:iCs/>
                <w:color w:val="202122"/>
                <w:lang w:eastAsia="ru-RU"/>
              </w:rPr>
              <w:t>процессов внедрения</w:t>
            </w: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F81819" w:rsidRPr="00C051AA" w:rsidTr="00F81819">
        <w:trPr>
          <w:trHeight w:val="9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19. Масштабируемость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это способность системы адаптироваться к расширению предъявляемых требований и возрастанию объемов решаемых задач.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F81819" w:rsidRPr="00C051AA" w:rsidTr="00F81819">
        <w:trPr>
          <w:trHeight w:val="9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20. Безопасность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защита приложений, которую их создатели обеспечивают уже на этапе разработки и до того, как программа окажется в открытом доступе.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F81819" w:rsidRPr="00C051AA" w:rsidTr="00F81819">
        <w:trPr>
          <w:trHeight w:val="12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21. Эксплуатационная пригодность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Способность сооружения, его отдельного узла, элемента, изделия или конструкции выполнять эксплуатационные функции, для которых объект проектировался и использовался.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F81819" w:rsidRPr="00C051AA" w:rsidTr="00F81819">
        <w:trPr>
          <w:trHeight w:val="315"/>
        </w:trPr>
        <w:tc>
          <w:tcPr>
            <w:tcW w:w="3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Обобщённый показатель качества: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C051AA" w:rsidRPr="00C051AA" w:rsidRDefault="00C051AA" w:rsidP="00C05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051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72%</w:t>
            </w:r>
          </w:p>
        </w:tc>
      </w:tr>
    </w:tbl>
    <w:p w:rsidR="00C051AA" w:rsidRPr="00F81819" w:rsidRDefault="00C051AA">
      <w:pPr>
        <w:rPr>
          <w:rFonts w:ascii="Times New Roman" w:hAnsi="Times New Roman" w:cs="Times New Roman"/>
          <w:sz w:val="28"/>
          <w:szCs w:val="28"/>
        </w:rPr>
      </w:pPr>
    </w:p>
    <w:p w:rsidR="00F81819" w:rsidRDefault="00F81819">
      <w:pPr>
        <w:rPr>
          <w:rFonts w:ascii="Times New Roman" w:hAnsi="Times New Roman" w:cs="Times New Roman"/>
          <w:sz w:val="28"/>
          <w:szCs w:val="28"/>
        </w:rPr>
      </w:pPr>
      <w:r w:rsidRPr="00F81819">
        <w:rPr>
          <w:rFonts w:ascii="Times New Roman" w:hAnsi="Times New Roman" w:cs="Times New Roman"/>
          <w:sz w:val="28"/>
          <w:szCs w:val="28"/>
        </w:rPr>
        <w:t>Вывод: Программа считается качественной на 72%, для повышения качества надо улучшить: Надежность Гибкость, Масштабируемость</w:t>
      </w:r>
    </w:p>
    <w:p w:rsidR="00F81819" w:rsidRPr="00F81819" w:rsidRDefault="00F8181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3AD744" wp14:editId="729E7DF4">
            <wp:extent cx="5940425" cy="3932555"/>
            <wp:effectExtent l="0" t="0" r="3175" b="1079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F81819" w:rsidRPr="00F81819" w:rsidSect="00F81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B132F"/>
    <w:multiLevelType w:val="hybridMultilevel"/>
    <w:tmpl w:val="7D664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39"/>
    <w:rsid w:val="000F4039"/>
    <w:rsid w:val="003424F1"/>
    <w:rsid w:val="00C051AA"/>
    <w:rsid w:val="00D7163C"/>
    <w:rsid w:val="00F8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FBBC"/>
  <w15:chartTrackingRefBased/>
  <w15:docId w15:val="{141176E4-BABD-4874-B3FB-5E9345C2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819"/>
  </w:style>
  <w:style w:type="paragraph" w:styleId="2">
    <w:name w:val="heading 2"/>
    <w:basedOn w:val="a"/>
    <w:next w:val="a"/>
    <w:link w:val="20"/>
    <w:uiPriority w:val="9"/>
    <w:unhideWhenUsed/>
    <w:qFormat/>
    <w:rsid w:val="000F4039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40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3">
    <w:name w:val="Table Grid"/>
    <w:basedOn w:val="a1"/>
    <w:uiPriority w:val="59"/>
    <w:qFormat/>
    <w:rsid w:val="000F4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4039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0F40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1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7;&#1090;&#1091;&#1076;&#1077;&#1085;&#1090;.44-8\Desktop\&#1054;&#1083;&#1100;&#1096;&#1077;&#1074;&#1089;&#1082;&#1080;&#1081;\Info\&#1054;&#1083;&#1100;&#1096;&#1077;&#1074;&#1089;&#1082;&#1080;&#108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>
        <c:manualLayout>
          <c:layoutTarget val="inner"/>
          <c:xMode val="edge"/>
          <c:yMode val="edge"/>
          <c:x val="4.3303647381463875E-2"/>
          <c:y val="3.2927083362795651E-2"/>
          <c:w val="0.93522142716293211"/>
          <c:h val="0.55002276847711418"/>
        </c:manualLayout>
      </c:layout>
      <c:barChart>
        <c:barDir val="col"/>
        <c:grouping val="clustered"/>
        <c:varyColors val="0"/>
        <c:ser>
          <c:idx val="0"/>
          <c:order val="0"/>
          <c:tx>
            <c:v>Надежность</c:v>
          </c:tx>
          <c:spPr>
            <a:solidFill>
              <a:schemeClr val="accent6">
                <a:shade val="33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Лист1!$A$2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AE-4FA3-AA55-9367CBB14CDA}"/>
            </c:ext>
          </c:extLst>
        </c:ser>
        <c:ser>
          <c:idx val="1"/>
          <c:order val="1"/>
          <c:tx>
            <c:v>Корректность</c:v>
          </c:tx>
          <c:spPr>
            <a:solidFill>
              <a:schemeClr val="accent6">
                <a:shade val="36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Лист1!$A$2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8AE-4FA3-AA55-9367CBB14CDA}"/>
            </c:ext>
          </c:extLst>
        </c:ser>
        <c:ser>
          <c:idx val="2"/>
          <c:order val="2"/>
          <c:tx>
            <c:v>Эффективность</c:v>
          </c:tx>
          <c:spPr>
            <a:solidFill>
              <a:schemeClr val="accent6">
                <a:shade val="39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Лист1!$E$2</c:f>
              <c:numCache>
                <c:formatCode>General</c:formatCode>
                <c:ptCount val="1"/>
                <c:pt idx="0">
                  <c:v>0.56999999999999995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8AE-4FA3-AA55-9367CBB14CDA}"/>
            </c:ext>
          </c:extLst>
        </c:ser>
        <c:ser>
          <c:idx val="3"/>
          <c:order val="3"/>
          <c:tx>
            <c:v>Гибкость</c:v>
          </c:tx>
          <c:spPr>
            <a:solidFill>
              <a:schemeClr val="accent6">
                <a:shade val="42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Лист1!$A$6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8AE-4FA3-AA55-9367CBB14CDA}"/>
            </c:ext>
          </c:extLst>
        </c:ser>
        <c:ser>
          <c:idx val="4"/>
          <c:order val="4"/>
          <c:tx>
            <c:v>Функциональность</c:v>
          </c:tx>
          <c:spPr>
            <a:solidFill>
              <a:schemeClr val="accent6">
                <a:shade val="45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Лист1!$E$6</c:f>
              <c:numCache>
                <c:formatCode>General</c:formatCode>
                <c:ptCount val="1"/>
                <c:pt idx="0">
                  <c:v>0.54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8AE-4FA3-AA55-9367CBB14CDA}"/>
            </c:ext>
          </c:extLst>
        </c:ser>
        <c:ser>
          <c:idx val="5"/>
          <c:order val="5"/>
          <c:tx>
            <c:v>Эргономичность проектирования</c:v>
          </c:tx>
          <c:spPr>
            <a:solidFill>
              <a:schemeClr val="accent6">
                <a:shade val="49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Лист1!$A$10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8AE-4FA3-AA55-9367CBB14CDA}"/>
            </c:ext>
          </c:extLst>
        </c:ser>
        <c:ser>
          <c:idx val="6"/>
          <c:order val="6"/>
          <c:tx>
            <c:v>Целостность</c:v>
          </c:tx>
          <c:spPr>
            <a:solidFill>
              <a:schemeClr val="accent6">
                <a:shade val="52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Лист1!$E$10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8AE-4FA3-AA55-9367CBB14CDA}"/>
            </c:ext>
          </c:extLst>
        </c:ser>
        <c:ser>
          <c:idx val="7"/>
          <c:order val="7"/>
          <c:tx>
            <c:v>Функциональная совместимость</c:v>
          </c:tx>
          <c:spPr>
            <a:solidFill>
              <a:schemeClr val="accent6">
                <a:shade val="55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Лист1!$A$11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8AE-4FA3-AA55-9367CBB14CDA}"/>
            </c:ext>
          </c:extLst>
        </c:ser>
        <c:ser>
          <c:idx val="8"/>
          <c:order val="8"/>
          <c:tx>
            <c:v>Сопровождаемость</c:v>
          </c:tx>
          <c:spPr>
            <a:solidFill>
              <a:schemeClr val="accent6">
                <a:shade val="58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Лист1!$E$11</c:f>
              <c:numCache>
                <c:formatCode>General</c:formatCode>
                <c:ptCount val="1"/>
                <c:pt idx="0">
                  <c:v>0.65999999999999992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8AE-4FA3-AA55-9367CBB14CDA}"/>
            </c:ext>
          </c:extLst>
        </c:ser>
        <c:ser>
          <c:idx val="9"/>
          <c:order val="9"/>
          <c:tx>
            <c:v>Модифицируемость</c:v>
          </c:tx>
          <c:spPr>
            <a:solidFill>
              <a:schemeClr val="accent6">
                <a:shade val="61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Лист1!$A$15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18AE-4FA3-AA55-9367CBB14CDA}"/>
            </c:ext>
          </c:extLst>
        </c:ser>
        <c:ser>
          <c:idx val="10"/>
          <c:order val="10"/>
          <c:tx>
            <c:v>Мобильность</c:v>
          </c:tx>
          <c:spPr>
            <a:solidFill>
              <a:schemeClr val="accent6">
                <a:shade val="65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Лист1!$E$15</c:f>
              <c:numCache>
                <c:formatCode>General</c:formatCode>
                <c:ptCount val="1"/>
                <c:pt idx="0">
                  <c:v>0.62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8AE-4FA3-AA55-9367CBB14CDA}"/>
            </c:ext>
          </c:extLst>
        </c:ser>
        <c:ser>
          <c:idx val="11"/>
          <c:order val="11"/>
          <c:tx>
            <c:v>Возможность многократного использования</c:v>
          </c:tx>
          <c:spPr>
            <a:solidFill>
              <a:schemeClr val="accent6">
                <a:shade val="68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Лист1!$A$21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18AE-4FA3-AA55-9367CBB14CDA}"/>
            </c:ext>
          </c:extLst>
        </c:ser>
        <c:ser>
          <c:idx val="12"/>
          <c:order val="12"/>
          <c:tx>
            <c:v>Устойчивость</c:v>
          </c:tx>
          <c:spPr>
            <a:solidFill>
              <a:schemeClr val="accent6">
                <a:shade val="71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Лист1!$E$21</c:f>
              <c:numCache>
                <c:formatCode>General</c:formatCode>
                <c:ptCount val="1"/>
                <c:pt idx="0">
                  <c:v>0.73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18AE-4FA3-AA55-9367CBB14CDA}"/>
            </c:ext>
          </c:extLst>
        </c:ser>
        <c:ser>
          <c:idx val="13"/>
          <c:order val="13"/>
          <c:tx>
            <c:v>Тестируемость</c:v>
          </c:tx>
          <c:spPr>
            <a:solidFill>
              <a:schemeClr val="accent6">
                <a:shade val="74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Лист1!$A$25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18AE-4FA3-AA55-9367CBB14CDA}"/>
            </c:ext>
          </c:extLst>
        </c:ser>
        <c:ser>
          <c:idx val="14"/>
          <c:order val="14"/>
          <c:tx>
            <c:v>Понятность</c:v>
          </c:tx>
          <c:spPr>
            <a:solidFill>
              <a:schemeClr val="accent6">
                <a:shade val="77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Лист1!$E$25</c:f>
              <c:numCache>
                <c:formatCode>General</c:formatCode>
                <c:ptCount val="1"/>
                <c:pt idx="0">
                  <c:v>0.56000000000000005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18AE-4FA3-AA55-9367CBB14CDA}"/>
            </c:ext>
          </c:extLst>
        </c:ser>
        <c:ser>
          <c:idx val="15"/>
          <c:order val="15"/>
          <c:tx>
            <c:v>Практичность</c:v>
          </c:tx>
          <c:spPr>
            <a:solidFill>
              <a:schemeClr val="accent6">
                <a:shade val="8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Лист1!$A$28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18AE-4FA3-AA55-9367CBB14CDA}"/>
            </c:ext>
          </c:extLst>
        </c:ser>
        <c:ser>
          <c:idx val="16"/>
          <c:order val="16"/>
          <c:tx>
            <c:v>Производительность</c:v>
          </c:tx>
          <c:spPr>
            <a:solidFill>
              <a:schemeClr val="accent6">
                <a:shade val="84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Лист1!$E$28</c:f>
              <c:numCache>
                <c:formatCode>General</c:formatCode>
                <c:ptCount val="1"/>
                <c:pt idx="0">
                  <c:v>0.60000000000000009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18AE-4FA3-AA55-9367CBB14CDA}"/>
            </c:ext>
          </c:extLst>
        </c:ser>
        <c:ser>
          <c:idx val="17"/>
          <c:order val="17"/>
          <c:tx>
            <c:v>Зрелость процесса</c:v>
          </c:tx>
          <c:spPr>
            <a:solidFill>
              <a:schemeClr val="accent6">
                <a:shade val="87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Лист1!$A$32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18AE-4FA3-AA55-9367CBB14CDA}"/>
            </c:ext>
          </c:extLst>
        </c:ser>
        <c:ser>
          <c:idx val="18"/>
          <c:order val="18"/>
          <c:tx>
            <c:v>Масштабируемость</c:v>
          </c:tx>
          <c:spPr>
            <a:solidFill>
              <a:schemeClr val="accent6">
                <a:shade val="9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Лист1!$E$32</c:f>
              <c:numCache>
                <c:formatCode>General</c:formatCode>
                <c:ptCount val="1"/>
                <c:pt idx="0">
                  <c:v>0.7400000000000001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18AE-4FA3-AA55-9367CBB14CDA}"/>
            </c:ext>
          </c:extLst>
        </c:ser>
        <c:ser>
          <c:idx val="19"/>
          <c:order val="19"/>
          <c:tx>
            <c:v>Безопасность</c:v>
          </c:tx>
          <c:spPr>
            <a:solidFill>
              <a:schemeClr val="accent6">
                <a:shade val="93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Лист1!$A$37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18AE-4FA3-AA55-9367CBB14CDA}"/>
            </c:ext>
          </c:extLst>
        </c:ser>
        <c:ser>
          <c:idx val="20"/>
          <c:order val="20"/>
          <c:tx>
            <c:v>Эксплуатационная пригодность</c:v>
          </c:tx>
          <c:spPr>
            <a:solidFill>
              <a:schemeClr val="accent6">
                <a:shade val="96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Лист1!$E$37</c:f>
              <c:numCache>
                <c:formatCode>General</c:formatCode>
                <c:ptCount val="1"/>
                <c:pt idx="0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18AE-4FA3-AA55-9367CBB14CD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2079780335"/>
        <c:axId val="2079768687"/>
        <c:extLst>
          <c:ext xmlns:c15="http://schemas.microsoft.com/office/drawing/2012/chart" uri="{02D57815-91ED-43cb-92C2-25804820EDAC}">
            <c15:filteredBarSeries>
              <c15:ser>
                <c:idx val="21"/>
                <c:order val="21"/>
                <c:spPr>
                  <a:solidFill>
                    <a:schemeClr val="accent6">
                      <a:alpha val="85000"/>
                    </a:schemeClr>
                  </a:solidFill>
                  <a:ln w="9525" cap="flat" cmpd="sng" algn="ctr">
                    <a:solidFill>
                      <a:schemeClr val="lt1">
                        <a:alpha val="50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dk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>
                      <c:ext uri="{02D57815-91ED-43cb-92C2-25804820EDAC}">
                        <c15:formulaRef>
                          <c15:sqref>Лист1!$A$40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15-18AE-4FA3-AA55-9367CBB14CDA}"/>
                  </c:ext>
                </c:extLst>
              </c15:ser>
            </c15:filteredBarSeries>
            <c15:filteredBarSeries>
              <c15:ser>
                <c:idx val="22"/>
                <c:order val="22"/>
                <c:spPr>
                  <a:solidFill>
                    <a:schemeClr val="accent6">
                      <a:tint val="97000"/>
                      <a:alpha val="85000"/>
                    </a:schemeClr>
                  </a:solidFill>
                  <a:ln w="9525" cap="flat" cmpd="sng" algn="ctr">
                    <a:solidFill>
                      <a:schemeClr val="lt1">
                        <a:alpha val="50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dk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Лист1!$E$40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0.76000000000000012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6-18AE-4FA3-AA55-9367CBB14CDA}"/>
                  </c:ext>
                </c:extLst>
              </c15:ser>
            </c15:filteredBarSeries>
            <c15:filteredBarSeries>
              <c15:ser>
                <c:idx val="23"/>
                <c:order val="23"/>
                <c:spPr>
                  <a:solidFill>
                    <a:schemeClr val="accent6">
                      <a:tint val="94000"/>
                      <a:alpha val="85000"/>
                    </a:schemeClr>
                  </a:solidFill>
                  <a:ln w="9525" cap="flat" cmpd="sng" algn="ctr">
                    <a:solidFill>
                      <a:schemeClr val="lt1">
                        <a:alpha val="50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dk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Лист1!$A$45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7-18AE-4FA3-AA55-9367CBB14CDA}"/>
                  </c:ext>
                </c:extLst>
              </c15:ser>
            </c15:filteredBarSeries>
            <c15:filteredBarSeries>
              <c15:ser>
                <c:idx val="24"/>
                <c:order val="24"/>
                <c:spPr>
                  <a:solidFill>
                    <a:schemeClr val="accent6">
                      <a:tint val="91000"/>
                      <a:alpha val="85000"/>
                    </a:schemeClr>
                  </a:solidFill>
                  <a:ln w="9525" cap="flat" cmpd="sng" algn="ctr">
                    <a:solidFill>
                      <a:schemeClr val="lt1">
                        <a:alpha val="50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dk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Лист1!$E$45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0.63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8-18AE-4FA3-AA55-9367CBB14CDA}"/>
                  </c:ext>
                </c:extLst>
              </c15:ser>
            </c15:filteredBarSeries>
            <c15:filteredBarSeries>
              <c15:ser>
                <c:idx val="25"/>
                <c:order val="25"/>
                <c:spPr>
                  <a:solidFill>
                    <a:schemeClr val="accent6">
                      <a:tint val="88000"/>
                      <a:alpha val="85000"/>
                    </a:schemeClr>
                  </a:solidFill>
                  <a:ln w="9525" cap="flat" cmpd="sng" algn="ctr">
                    <a:solidFill>
                      <a:schemeClr val="lt1">
                        <a:alpha val="50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dk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Лист1!$A$50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9-18AE-4FA3-AA55-9367CBB14CDA}"/>
                  </c:ext>
                </c:extLst>
              </c15:ser>
            </c15:filteredBarSeries>
            <c15:filteredBarSeries>
              <c15:ser>
                <c:idx val="26"/>
                <c:order val="26"/>
                <c:spPr>
                  <a:solidFill>
                    <a:schemeClr val="accent6">
                      <a:tint val="85000"/>
                      <a:alpha val="85000"/>
                    </a:schemeClr>
                  </a:solidFill>
                  <a:ln w="9525" cap="flat" cmpd="sng" algn="ctr">
                    <a:solidFill>
                      <a:schemeClr val="lt1">
                        <a:alpha val="50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dk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Лист1!$E$50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A-18AE-4FA3-AA55-9367CBB14CDA}"/>
                  </c:ext>
                </c:extLst>
              </c15:ser>
            </c15:filteredBarSeries>
            <c15:filteredBarSeries>
              <c15:ser>
                <c:idx val="27"/>
                <c:order val="27"/>
                <c:spPr>
                  <a:solidFill>
                    <a:schemeClr val="accent6">
                      <a:tint val="81000"/>
                      <a:alpha val="85000"/>
                    </a:schemeClr>
                  </a:solidFill>
                  <a:ln w="9525" cap="flat" cmpd="sng" algn="ctr">
                    <a:solidFill>
                      <a:schemeClr val="lt1">
                        <a:alpha val="50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dk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Лист1!$A$51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B-18AE-4FA3-AA55-9367CBB14CDA}"/>
                  </c:ext>
                </c:extLst>
              </c15:ser>
            </c15:filteredBarSeries>
            <c15:filteredBarSeries>
              <c15:ser>
                <c:idx val="28"/>
                <c:order val="28"/>
                <c:spPr>
                  <a:solidFill>
                    <a:schemeClr val="accent6">
                      <a:tint val="78000"/>
                      <a:alpha val="85000"/>
                    </a:schemeClr>
                  </a:solidFill>
                  <a:ln w="9525" cap="flat" cmpd="sng" algn="ctr">
                    <a:solidFill>
                      <a:schemeClr val="lt1">
                        <a:alpha val="50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dk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Лист1!$E$51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0.68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C-18AE-4FA3-AA55-9367CBB14CDA}"/>
                  </c:ext>
                </c:extLst>
              </c15:ser>
            </c15:filteredBarSeries>
            <c15:filteredBarSeries>
              <c15:ser>
                <c:idx val="29"/>
                <c:order val="29"/>
                <c:spPr>
                  <a:solidFill>
                    <a:schemeClr val="accent6">
                      <a:tint val="75000"/>
                      <a:alpha val="85000"/>
                    </a:schemeClr>
                  </a:solidFill>
                  <a:ln w="9525" cap="flat" cmpd="sng" algn="ctr">
                    <a:solidFill>
                      <a:schemeClr val="lt1">
                        <a:alpha val="50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dk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Лист1!$A$57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D-18AE-4FA3-AA55-9367CBB14CDA}"/>
                  </c:ext>
                </c:extLst>
              </c15:ser>
            </c15:filteredBarSeries>
            <c15:filteredBarSeries>
              <c15:ser>
                <c:idx val="30"/>
                <c:order val="30"/>
                <c:spPr>
                  <a:solidFill>
                    <a:schemeClr val="accent6">
                      <a:tint val="72000"/>
                      <a:alpha val="85000"/>
                    </a:schemeClr>
                  </a:solidFill>
                  <a:ln w="9525" cap="flat" cmpd="sng" algn="ctr">
                    <a:solidFill>
                      <a:schemeClr val="lt1">
                        <a:alpha val="50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dk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Лист1!$E$57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0.63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E-18AE-4FA3-AA55-9367CBB14CDA}"/>
                  </c:ext>
                </c:extLst>
              </c15:ser>
            </c15:filteredBarSeries>
            <c15:filteredBarSeries>
              <c15:ser>
                <c:idx val="31"/>
                <c:order val="31"/>
                <c:spPr>
                  <a:solidFill>
                    <a:schemeClr val="accent6">
                      <a:tint val="69000"/>
                      <a:alpha val="85000"/>
                    </a:schemeClr>
                  </a:solidFill>
                  <a:ln w="9525" cap="flat" cmpd="sng" algn="ctr">
                    <a:solidFill>
                      <a:schemeClr val="lt1">
                        <a:alpha val="50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dk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Лист1!$A$63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F-18AE-4FA3-AA55-9367CBB14CDA}"/>
                  </c:ext>
                </c:extLst>
              </c15:ser>
            </c15:filteredBarSeries>
            <c15:filteredBarSeries>
              <c15:ser>
                <c:idx val="32"/>
                <c:order val="32"/>
                <c:spPr>
                  <a:solidFill>
                    <a:schemeClr val="accent6">
                      <a:tint val="65000"/>
                      <a:alpha val="85000"/>
                    </a:schemeClr>
                  </a:solidFill>
                  <a:ln w="9525" cap="flat" cmpd="sng" algn="ctr">
                    <a:solidFill>
                      <a:schemeClr val="lt1">
                        <a:alpha val="50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dk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Лист1!$E$63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0.73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0-18AE-4FA3-AA55-9367CBB14CDA}"/>
                  </c:ext>
                </c:extLst>
              </c15:ser>
            </c15:filteredBarSeries>
            <c15:filteredBarSeries>
              <c15:ser>
                <c:idx val="33"/>
                <c:order val="33"/>
                <c:spPr>
                  <a:solidFill>
                    <a:schemeClr val="accent6">
                      <a:tint val="62000"/>
                      <a:alpha val="85000"/>
                    </a:schemeClr>
                  </a:solidFill>
                  <a:ln w="9525" cap="flat" cmpd="sng" algn="ctr">
                    <a:solidFill>
                      <a:schemeClr val="lt1">
                        <a:alpha val="50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dk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Лист1!$A$67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1-18AE-4FA3-AA55-9367CBB14CDA}"/>
                  </c:ext>
                </c:extLst>
              </c15:ser>
            </c15:filteredBarSeries>
            <c15:filteredBarSeries>
              <c15:ser>
                <c:idx val="34"/>
                <c:order val="34"/>
                <c:spPr>
                  <a:solidFill>
                    <a:schemeClr val="accent6">
                      <a:tint val="59000"/>
                      <a:alpha val="85000"/>
                    </a:schemeClr>
                  </a:solidFill>
                  <a:ln w="9525" cap="flat" cmpd="sng" algn="ctr">
                    <a:solidFill>
                      <a:schemeClr val="lt1">
                        <a:alpha val="50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dk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Лист1!$E$67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2-18AE-4FA3-AA55-9367CBB14CDA}"/>
                  </c:ext>
                </c:extLst>
              </c15:ser>
            </c15:filteredBarSeries>
            <c15:filteredBarSeries>
              <c15:ser>
                <c:idx val="35"/>
                <c:order val="35"/>
                <c:spPr>
                  <a:solidFill>
                    <a:schemeClr val="accent6">
                      <a:tint val="56000"/>
                      <a:alpha val="85000"/>
                    </a:schemeClr>
                  </a:solidFill>
                  <a:ln w="9525" cap="flat" cmpd="sng" algn="ctr">
                    <a:solidFill>
                      <a:schemeClr val="lt1">
                        <a:alpha val="50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dk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Лист1!$A$68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3-18AE-4FA3-AA55-9367CBB14CDA}"/>
                  </c:ext>
                </c:extLst>
              </c15:ser>
            </c15:filteredBarSeries>
            <c15:filteredBarSeries>
              <c15:ser>
                <c:idx val="36"/>
                <c:order val="36"/>
                <c:spPr>
                  <a:solidFill>
                    <a:schemeClr val="accent6">
                      <a:tint val="53000"/>
                      <a:alpha val="85000"/>
                    </a:schemeClr>
                  </a:solidFill>
                  <a:ln w="9525" cap="flat" cmpd="sng" algn="ctr">
                    <a:solidFill>
                      <a:schemeClr val="lt1">
                        <a:alpha val="50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dk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Лист1!$E$68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4-18AE-4FA3-AA55-9367CBB14CDA}"/>
                  </c:ext>
                </c:extLst>
              </c15:ser>
            </c15:filteredBarSeries>
            <c15:filteredBarSeries>
              <c15:ser>
                <c:idx val="37"/>
                <c:order val="37"/>
                <c:spPr>
                  <a:solidFill>
                    <a:schemeClr val="accent6">
                      <a:tint val="50000"/>
                      <a:alpha val="85000"/>
                    </a:schemeClr>
                  </a:solidFill>
                  <a:ln w="9525" cap="flat" cmpd="sng" algn="ctr">
                    <a:solidFill>
                      <a:schemeClr val="lt1">
                        <a:alpha val="50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dk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Лист1!$A$69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5-18AE-4FA3-AA55-9367CBB14CDA}"/>
                  </c:ext>
                </c:extLst>
              </c15:ser>
            </c15:filteredBarSeries>
            <c15:filteredBarSeries>
              <c15:ser>
                <c:idx val="38"/>
                <c:order val="38"/>
                <c:spPr>
                  <a:solidFill>
                    <a:schemeClr val="accent6">
                      <a:tint val="46000"/>
                      <a:alpha val="85000"/>
                    </a:schemeClr>
                  </a:solidFill>
                  <a:ln w="9525" cap="flat" cmpd="sng" algn="ctr">
                    <a:solidFill>
                      <a:schemeClr val="lt1">
                        <a:alpha val="50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dk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Лист1!$E$69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6-18AE-4FA3-AA55-9367CBB14CDA}"/>
                  </c:ext>
                </c:extLst>
              </c15:ser>
            </c15:filteredBarSeries>
            <c15:filteredBarSeries>
              <c15:ser>
                <c:idx val="39"/>
                <c:order val="39"/>
                <c:spPr>
                  <a:solidFill>
                    <a:schemeClr val="accent6">
                      <a:tint val="43000"/>
                      <a:alpha val="85000"/>
                    </a:schemeClr>
                  </a:solidFill>
                  <a:ln w="9525" cap="flat" cmpd="sng" algn="ctr">
                    <a:solidFill>
                      <a:schemeClr val="lt1">
                        <a:alpha val="50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dk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Лист1!$A$70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7-18AE-4FA3-AA55-9367CBB14CDA}"/>
                  </c:ext>
                </c:extLst>
              </c15:ser>
            </c15:filteredBarSeries>
            <c15:filteredBarSeries>
              <c15:ser>
                <c:idx val="40"/>
                <c:order val="40"/>
                <c:spPr>
                  <a:solidFill>
                    <a:schemeClr val="accent6">
                      <a:tint val="40000"/>
                      <a:alpha val="85000"/>
                    </a:schemeClr>
                  </a:solidFill>
                  <a:ln w="9525" cap="flat" cmpd="sng" algn="ctr">
                    <a:solidFill>
                      <a:schemeClr val="lt1">
                        <a:alpha val="50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dk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Лист1!$E$70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8-18AE-4FA3-AA55-9367CBB14CDA}"/>
                  </c:ext>
                </c:extLst>
              </c15:ser>
            </c15:filteredBarSeries>
            <c15:filteredBarSeries>
              <c15:ser>
                <c:idx val="41"/>
                <c:order val="41"/>
                <c:spPr>
                  <a:solidFill>
                    <a:schemeClr val="accent6">
                      <a:tint val="37000"/>
                      <a:alpha val="85000"/>
                    </a:schemeClr>
                  </a:solidFill>
                  <a:ln w="9525" cap="flat" cmpd="sng" algn="ctr">
                    <a:solidFill>
                      <a:schemeClr val="lt1">
                        <a:alpha val="50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dk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Лист1!$A$71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9-18AE-4FA3-AA55-9367CBB14CDA}"/>
                  </c:ext>
                </c:extLst>
              </c15:ser>
            </c15:filteredBarSeries>
            <c15:filteredBarSeries>
              <c15:ser>
                <c:idx val="42"/>
                <c:order val="42"/>
                <c:spPr>
                  <a:solidFill>
                    <a:schemeClr val="accent6">
                      <a:tint val="34000"/>
                      <a:alpha val="85000"/>
                    </a:schemeClr>
                  </a:solidFill>
                  <a:ln w="9525" cap="flat" cmpd="sng" algn="ctr">
                    <a:solidFill>
                      <a:schemeClr val="lt1">
                        <a:alpha val="50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dk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Лист1!$E$71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A-18AE-4FA3-AA55-9367CBB14CDA}"/>
                  </c:ext>
                </c:extLst>
              </c15:ser>
            </c15:filteredBarSeries>
          </c:ext>
        </c:extLst>
      </c:barChart>
      <c:catAx>
        <c:axId val="20797803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9768687"/>
        <c:crosses val="autoZero"/>
        <c:auto val="1"/>
        <c:lblAlgn val="ctr"/>
        <c:lblOffset val="100"/>
        <c:noMultiLvlLbl val="0"/>
      </c:catAx>
      <c:valAx>
        <c:axId val="2079768687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79780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3497350778774233E-2"/>
          <c:y val="0.65363739350117167"/>
          <c:w val="0.84507354271790314"/>
          <c:h val="0.29469136477430069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45B01-0CC6-40FA-8ACF-6872484A5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2024-07-02T13:28:00Z</dcterms:created>
  <dcterms:modified xsi:type="dcterms:W3CDTF">2024-07-02T14:08:00Z</dcterms:modified>
</cp:coreProperties>
</file>