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4E7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Body Pillar Implementation Guidance Note v1.3</w:t>
              <w:br/>
              <w:t>Additives Refactor + NOVA 1 Fallback Clarification (MVP)</w:t>
            </w:r>
          </w:p>
        </w:tc>
      </w:tr>
    </w:tbl>
    <w:p/>
    <w:p>
      <w:pPr>
        <w:jc w:val="center"/>
      </w:pPr>
      <w:r>
        <w:t>Prepared for Cursor implementation review | 27 March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Confirmed MVP direction</w:t>
              <w:br/>
              <w:t>Proceed with the additive refactor exactly as previously aligned.</w:t>
              <w:br/>
              <w:t>Park Country vs Global OFF sequencing for this release; do not make the additive refactor depend on an OFF fetch/merge redesign.</w:t>
              <w:br/>
              <w:t>Retain a narrow positive-only NOVA 1 fallback where OFF NOVA is missing, but tighten it into a whitelist-led “high-confidence minimally processed rescue”, not a broad heuristic classifier.</w:t>
              <w:br/>
              <w:t>Use additives_tags from the resolved OFF product object available in the current ingestion pipeline; exact controlled text fallback is permitted only where those tags are missing or clearly incomplete.</w:t>
              <w:br/>
              <w:t>Amend wording so Cursor is not asked to guarantee a deferred architecture change.</w:t>
            </w:r>
          </w:p>
        </w:tc>
      </w:tr>
    </w:tbl>
    <w:p/>
    <w:p>
      <w:pPr>
        <w:pStyle w:val="Heading1"/>
      </w:pPr>
      <w:r>
        <w:t>1. Purpose</w:t>
      </w:r>
    </w:p>
    <w:p>
      <w:r>
        <w:t>This note supersedes the earlier guidance where it conflicted with the agreed MVP policy pivot on NOVA. It keeps the additive refactor intact, clarifies that Country-vs-Global OFF sequencing is deferred, and records the limited exception that an internal NOVA 1 fallback remains permitted for clearly minimal foods when OFF NOVA is missing.</w:t>
      </w:r>
    </w:p>
    <w:p>
      <w:pPr>
        <w:pStyle w:val="Heading1"/>
      </w:pPr>
      <w:r>
        <w:t>2. Confirmed implementation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fill="D9E7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sz w:val="21"/>
              </w:rPr>
              <w:t>Decision</w:t>
            </w:r>
          </w:p>
        </w:tc>
        <w:tc>
          <w:tcPr>
            <w:tcW w:type="dxa" w:w="7056"/>
            <w:shd w:fill="D9E7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sz w:val="21"/>
              </w:rPr>
              <w:t>Implementation effect for this release</w:t>
            </w:r>
          </w:p>
        </w:tc>
        <w:tc>
          <w:tcPr>
            <w:tcW w:type="dxa" w:w="1872"/>
            <w:shd w:fill="D9E7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sz w:val="21"/>
              </w:rPr>
              <w:t>Status</w:t>
            </w:r>
          </w:p>
        </w:tc>
      </w:tr>
      <w:t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20"/>
              </w:rPr>
              <w:t>Additives refactor proceeds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20"/>
              </w:rPr>
              <w:t>Retain existing additive plumbing, extend AdditiveInfo, refactor Body additive scoring, and align trust/UI messaging in the same change set.</w:t>
            </w:r>
          </w:p>
        </w:tc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20"/>
              </w:rPr>
              <w:t>Approved</w:t>
            </w:r>
          </w:p>
        </w:tc>
      </w:tr>
      <w:t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20"/>
              </w:rPr>
              <w:t>Country OFF &gt; Global OFF sequencing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20"/>
              </w:rPr>
              <w:t>Deferred. For this release, additive scoring uses additives_tags available on the resolved OFF product object produced by the current ingestion pipeline.</w:t>
            </w:r>
          </w:p>
        </w:tc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20"/>
              </w:rPr>
              <w:t>Deferred enhancement</w:t>
            </w:r>
          </w:p>
        </w:tc>
      </w:tr>
      <w:t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20"/>
              </w:rPr>
              <w:t>NOVA fallback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Permitted for estimated NOVA 1 only, under tightened whitelist-led rules. No internal NOVA 2 / 3 / 4. This tightened rule is required in the same release as the additive refactor.</w:t>
            </w:r>
          </w:p>
        </w:tc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20"/>
              </w:rPr>
              <w:t>Approved with restriction</w:t>
            </w:r>
          </w:p>
        </w:tc>
      </w:tr>
      <w:t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20"/>
              </w:rPr>
              <w:t>Nutri-Score C arithmetic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20"/>
              </w:rPr>
              <w:t>C = -1, therefore total Body contribution = 14, not 15.</w:t>
            </w:r>
          </w:p>
        </w:tc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20"/>
              </w:rPr>
              <w:t>Approved</w:t>
            </w:r>
          </w:p>
        </w:tc>
      </w:tr>
    </w:tbl>
    <w:p>
      <w:pPr>
        <w:pStyle w:val="Heading1"/>
      </w:pPr>
      <w:r>
        <w:t>3. Additive refactor: unchanged non-negotiables</w:t>
      </w:r>
    </w:p>
    <w:p>
      <w:r>
        <w:t>The additive guidance remains substantively unchanged except for the deferred OFF sequencing wording. Cursor should still implement the additive refactor as a targeted replacement of scoring semantics, not a rebuild.</w:t>
      </w:r>
    </w:p>
    <w:p>
      <w:pPr>
        <w:pStyle w:val="ListBullet"/>
      </w:pPr>
      <w:r>
        <w:t>Keep product.additives_tags as the primary additive fact flow from the resolved OFF product object available today.</w:t>
      </w:r>
    </w:p>
    <w:p>
      <w:pPr>
        <w:pStyle w:val="ListBullet"/>
      </w:pPr>
      <w:r>
        <w:t>Keep src/services/additiveDatabase.ts and getAdditiveInfo() as the only additive metadata source of truth; extend the model, do not build a second registry.</w:t>
      </w:r>
    </w:p>
    <w:p>
      <w:pPr>
        <w:pStyle w:val="ListBullet"/>
      </w:pPr>
      <w:r>
        <w:t>Remove Body dependence on ingredients_text IARC sweeps, universal irritants, signed country-specific additive penalty deltas, and any hard-coded secondary high-risk additive lists.</w:t>
      </w:r>
    </w:p>
    <w:p>
      <w:pPr>
        <w:pStyle w:val="ListBullet"/>
      </w:pPr>
      <w:r>
        <w:t>Update bodyPillar.ts, trustScore.ts, AllergensAdditivesModal.tsx, AdditivesRiskCard.tsx, and any additive highlight / reason logic in the same change set.</w:t>
      </w:r>
    </w:p>
    <w:p>
      <w:pPr>
        <w:pStyle w:val="ListBullet"/>
      </w:pPr>
      <w:r>
        <w:t>Continue to treat unknown additives as zero penalty, and keep Phase 1 text fallback exact-only with no fuzzy matching.</w:t>
      </w:r>
    </w:p>
    <w:p>
      <w:pPr>
        <w:pStyle w:val="Heading2"/>
      </w:pPr>
      <w:r>
        <w:t>3.1 Wording correction for deferred OFF sequencing</w:t>
      </w:r>
    </w:p>
    <w:p>
      <w:r>
        <w:t xml:space="preserve">Replace any hard guarantee such as </w:t>
      </w:r>
      <w:r>
        <w:rPr>
          <w:b/>
        </w:rPr>
        <w:t>"Country OFF &gt; Global OFF &gt; exact controlled text fallback"</w:t>
      </w:r>
      <w:r>
        <w:t xml:space="preserve"> with the following scoped wording: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Use additives_tags from the resolved OFF product object in the current ingestion pipeline. Exact controlled ingredients_text fallback is permitted only where those tags are missing or clearly incomplete on that resolved product object. Missing means additives_tags is null, undefined, empty, or all entries fail normalization into canonical additive IDs. Clearly incomplete means an exact Phase 1 curated additive match is found in ingredients_text and is not already represented in the normalized additive tag set. Do not trigger fallback merely because no concern-tier additive is found in OFF tags. Review of Country vs Global OFF precedence is deferred to the broader OFF/database architecture review.</w:t>
            </w:r>
          </w:p>
        </w:tc>
      </w:tr>
    </w:tbl>
    <w:p>
      <w:pPr>
        <w:pStyle w:val="Heading1"/>
      </w:pPr>
      <w:r>
        <w:t>4. Revised NOVA policy for MVP</w:t>
      </w:r>
    </w:p>
    <w:p>
      <w:r>
        <w:t xml:space="preserve">OFF-provided nova_group remains authoritative whenever present. The internal exception is now explicitly limited to </w:t>
      </w:r>
      <w:r>
        <w:rPr>
          <w:b/>
        </w:rPr>
        <w:t>estimated NOVA 1 only</w:t>
      </w:r>
      <w:r>
        <w:t>, used as a high-confidence rescue for clearly minimally processed foods that would otherwise sit on a flat default Body score when OFF has not published NOVA.</w:t>
      </w:r>
    </w:p>
    <w:p>
      <w:pPr>
        <w:pStyle w:val="ListBullet"/>
      </w:pPr>
      <w:r>
        <w:t>No internal assignment of NOVA 2, 3, or 4.</w:t>
      </w:r>
    </w:p>
    <w:p>
      <w:pPr>
        <w:pStyle w:val="ListBullet"/>
      </w:pPr>
      <w:r>
        <w:t>The fallback should be treated as a bounded whitelist-led rescue, not a mini NOVA classifier.</w:t>
      </w:r>
    </w:p>
    <w:p>
      <w:pPr>
        <w:pStyle w:val="ListBullet"/>
      </w:pPr>
      <w:r>
        <w:t>The fallback should continue to retain explicit provenance fields (for example _nova_estimated = true and _nova_confidence = "high").</w:t>
      </w:r>
    </w:p>
    <w:p>
      <w:pPr>
        <w:pStyle w:val="ListBullet"/>
      </w:pPr>
      <w:r>
        <w:t>If the current implementation writes nova_group = 1 in enhancement flow, that is acceptable for MVP only if the estimated/provenance flags remain present and available to downstream scoring / debugging.</w:t>
      </w:r>
    </w:p>
    <w:p>
      <w:pPr>
        <w:pStyle w:val="ListBullet"/>
      </w:pPr>
      <w:r>
        <w:t>The tightened whitelist-led NOVA 1 rescue is required in the same release as the additive refactor; retaining the older count/regex heuristic alone is not sufficient.</w:t>
      </w:r>
    </w:p>
    <w:p>
      <w:pPr>
        <w:pStyle w:val="Heading1"/>
      </w:pPr>
      <w:r>
        <w:t>5. External source anchors for the NOVA 1 whitelist</w:t>
      </w:r>
    </w:p>
    <w:p>
      <w:r>
        <w:t>The whitelist should be based on externally described NOVA Group 1 categories, not on bespoke internal invention. FAO / PAHO / NOVA source descriptions consistently place the following food types in Group 1, while PAHO and Johns Hopkins separately identify culinary ingredients such as salt, sugar and oils as Group 2 and therefore out of scope for a NOVA 1 rescue.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7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sz w:val="20"/>
              </w:rPr>
              <w:t>Whitelist category (source-anchored)</w:t>
            </w:r>
          </w:p>
        </w:tc>
        <w:tc>
          <w:tcPr>
            <w:tcW w:type="dxa" w:w="4608"/>
            <w:shd w:fill="D9E7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sz w:val="20"/>
              </w:rPr>
              <w:t>Examples suitable for bounded MVP implementation</w:t>
            </w:r>
          </w:p>
        </w:tc>
        <w:tc>
          <w:tcPr>
            <w:tcW w:type="dxa" w:w="3168"/>
            <w:shd w:fill="D9E7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sz w:val="20"/>
              </w:rPr>
              <w:t>Implementation note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Fresh, chilled, frozen or dried fruits and vegetables; leafy and root vegetables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peas, corn, spinach, blueberries, strawberries, mixed vegetables, broccoli, carrots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Safe when ingredients normalize to a single qualifying ingredient, or qualifying ingredient + water only.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Grains, kernels and plain grain products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brown rice, white rice, oats, quinoa, wheat berries; plain flour / grits / flakes; plain pasta made from flour + water only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Only allow exact canonical signatures. Do not infer from generic bakery or cereal products.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Legumes and pulses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lentils, chickpeas, black beans, kidney beans, split peas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Single ingredient, or ingredient + water only.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Starchy roots, tubers and fungi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potatoes, sweet potatoes, cassava, mushrooms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Single ingredient, or ingredient + water only.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Plain animal-source foods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raw or frozen fish, seafood, poultry, meat cuts, eggs, plain milk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No added salt, oil, flavourings or curing agents.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Plain yoghurt, nuts, seeds, herbs, spices, tea, coffee, drinking water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plain yoghurt with no added sugar or sweetener; almonds; sunflower seeds; black pepper; mint; tea leaves; coffee beans / grounds; water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Only allow exact plain forms. Sweetened, flavoured or composite variants are out.</w:t>
            </w:r>
          </w:p>
        </w:tc>
      </w:tr>
    </w:tbl>
    <w:p>
      <w:pPr>
        <w:pStyle w:val="Heading2"/>
      </w:pPr>
      <w:r>
        <w:t>5.1 Explicit exclusions from the NOVA 1 rescue</w:t>
      </w:r>
    </w:p>
    <w:p>
      <w:r>
        <w:t>The following should block estimated NOVA 1, even if the ingredient list is short:</w:t>
      </w:r>
    </w:p>
    <w:p>
      <w:pPr>
        <w:pStyle w:val="ListBullet"/>
      </w:pPr>
      <w:r>
        <w:t>Processed culinary ingredients / Group 2 items such as salt, sugar, oils, butter, lard, cream, honey, maple syrup, molasses, and vinegar.</w:t>
      </w:r>
    </w:p>
    <w:p>
      <w:pPr>
        <w:pStyle w:val="ListBullet"/>
      </w:pPr>
      <w:r>
        <w:t>Additives or additive tags of any kind.</w:t>
      </w:r>
    </w:p>
    <w:p>
      <w:pPr>
        <w:pStyle w:val="ListBullet"/>
      </w:pPr>
      <w:r>
        <w:t>Processed markers such as modified starches, syrups, hydrogenated fats, preservatives, colours, flavours, sweeteners, emulsifiers, stabilisers, isolates, and curing agents.</w:t>
      </w:r>
    </w:p>
    <w:p>
      <w:pPr>
        <w:pStyle w:val="ListBullet"/>
      </w:pPr>
      <w:r>
        <w:t>Composite products that are short-ingredient but not clearly minimal, for example bread, crackers, sauces, soups, seasoned vegetables, or salted nuts.</w:t>
      </w:r>
    </w:p>
    <w:p>
      <w:pPr>
        <w:pStyle w:val="Heading1"/>
      </w:pPr>
      <w:r>
        <w:t>6. Operational rules for the tightened NOVA 1 fallback</w:t>
      </w:r>
    </w:p>
    <w:p>
      <w:pPr>
        <w:pStyle w:val="ListNumber"/>
      </w:pPr>
      <w:r>
        <w:t>Only run when OFF nova_group is missing.</w:t>
      </w:r>
    </w:p>
    <w:p>
      <w:pPr>
        <w:pStyle w:val="ListNumber"/>
      </w:pPr>
      <w:r>
        <w:t>Require ingredients_text to be present and parseable.</w:t>
      </w:r>
    </w:p>
    <w:p>
      <w:pPr>
        <w:pStyle w:val="ListNumber"/>
      </w:pPr>
      <w:r>
        <w:t>Require additives_tags to be absent / empty.</w:t>
      </w:r>
    </w:p>
    <w:p>
      <w:pPr>
        <w:pStyle w:val="ListNumber"/>
      </w:pPr>
      <w:r>
        <w:t>Require the normalized ingredient signature to match a bounded whitelist pattern.</w:t>
      </w:r>
    </w:p>
    <w:p>
      <w:pPr>
        <w:pStyle w:val="ListNumber"/>
      </w:pPr>
      <w:r>
        <w:t>High-confidence default patterns should be limited to: (a) one qualifying ingredient only, or (b) one qualifying ingredient plus water only.</w:t>
      </w:r>
    </w:p>
    <w:p>
      <w:pPr>
        <w:pStyle w:val="ListNumber"/>
      </w:pPr>
      <w:r>
        <w:t>Additional canonical whitelist patterns may be allowed only where they are exact and explicit, such as flour + water only, or milk + cultures only for plain yoghurt.</w:t>
      </w:r>
    </w:p>
    <w:p>
      <w:pPr>
        <w:pStyle w:val="ListNumber"/>
      </w:pPr>
      <w:r>
        <w:t>Do not assign NOVA 1 where any Group 2 culinary ingredient appears, even if the overall product is simple.</w:t>
      </w:r>
    </w:p>
    <w:p>
      <w:pPr>
        <w:pStyle w:val="ListNumber"/>
      </w:pPr>
      <w:r>
        <w:t>Retain provenance flags whenever NOVA 1 is estimated internally.</w:t>
      </w:r>
    </w:p>
    <w:p>
      <w:pPr>
        <w:pStyle w:val="Heading2"/>
      </w:pPr>
      <w:r>
        <w:t>6.1 Minimum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7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>Test bucket</w:t>
            </w:r>
          </w:p>
        </w:tc>
        <w:tc>
          <w:tcPr>
            <w:tcW w:type="dxa" w:w="4968"/>
            <w:shd w:fill="D9E7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>Examples</w:t>
            </w:r>
          </w:p>
        </w:tc>
      </w:tr>
      <w:tr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9"/>
              </w:rPr>
              <w:t>Should assign NOVA 1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9"/>
              </w:rPr>
              <w:t>peas; frozen peas; spinach; blueberries; chickpeas; brown rice; milk; eggs; plain yoghurt (milk + cultures only)</w:t>
            </w:r>
          </w:p>
        </w:tc>
      </w:tr>
      <w:tr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9"/>
              </w:rPr>
              <w:t>Should not assign NOVA 1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9"/>
              </w:rPr>
              <w:t>salt; sugar; olive oil; peas + salt; roasted salted almonds; bread; yoghurt with sugar; any product with additives_tags present</w:t>
            </w:r>
          </w:p>
        </w:tc>
      </w:tr>
    </w:tbl>
    <w:p>
      <w:pPr>
        <w:pStyle w:val="Heading1"/>
      </w:pPr>
      <w:r>
        <w:t>7. Updated acceptance criteria</w:t>
      </w:r>
    </w:p>
    <w:p>
      <w:pPr>
        <w:pStyle w:val="ListBullet"/>
      </w:pPr>
      <w:r>
        <w:t>Additive refactor is implemented per the revised guidance in this note, with trust/UI alignment in the same change set.</w:t>
      </w:r>
    </w:p>
    <w:p>
      <w:pPr>
        <w:pStyle w:val="ListBullet"/>
      </w:pPr>
      <w:r>
        <w:t>No code in this release is required to guarantee Country OFF &gt; Global OFF sequencing.</w:t>
      </w:r>
    </w:p>
    <w:p>
      <w:pPr>
        <w:pStyle w:val="ListBullet"/>
      </w:pPr>
      <w:r>
        <w:t>Any wording in comments/docs that implied guaranteed Country precedence is updated to reflect the deferred architecture review.</w:t>
      </w:r>
    </w:p>
    <w:p>
      <w:pPr>
        <w:pStyle w:val="ListBullet"/>
      </w:pPr>
      <w:r>
        <w:t>The internal NOVA fallback can only assign NOVA 1, under the tightened whitelist-led rules above.</w:t>
      </w:r>
    </w:p>
    <w:p>
      <w:pPr>
        <w:pStyle w:val="ListBullet"/>
      </w:pPr>
      <w:r>
        <w:t>Nutri-Score C arithmetic is corrected to 14 total.</w:t>
      </w:r>
    </w:p>
    <w:p>
      <w:pPr>
        <w:pStyle w:val="ListBullet"/>
      </w:pPr>
      <w:r>
        <w:t>The older broad count/regex heuristic must not remain as the sole basis for NOVA 1 estimation; the whitelist-led rescue rule above is required for this release.</w:t>
      </w:r>
    </w:p>
    <w:p>
      <w:r/>
    </w:p>
    <w:p>
      <w:pPr>
        <w:pStyle w:val="Heading1"/>
      </w:pPr>
      <w:r>
        <w:t>Appendix A. External source notes used for the NOVA 1 whitelist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D9E7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5616"/>
            <w:shd w:fill="D9E7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>Use in guidance</w:t>
            </w:r>
          </w:p>
        </w:tc>
        <w:tc>
          <w:tcPr>
            <w:tcW w:type="dxa" w:w="3168"/>
            <w:shd w:fill="D9E7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FSANZ - Diet quality and processed foods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Explains NOVA’s four groups and notes that ultra-processed foods typically contain 5 or more ingredients; useful as a caution against reversing that rule into “5 or fewer means NOVA 1”.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https://www.foodstandards.gov.au/consumer/nutrition/Diet-quality-and-processed-foods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FAO - Ultra-processed foods, diet quality and human health (Monteiro et al., 2019)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Provides Group 1 examples including fresh / frozen / dried fruits and vegetables, grains, legumes, roots and tubers, meat, fish, eggs, milk, plain yoghurt, tea, coffee, and drinking water.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https://openknowledge.fao.org/server/api/core/bitstreams/5277b379-0acb-4d97-a6a3-602774104629/content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PAHO - Ultra-processed food and drink products in Latin America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Provides Group 1 and Group 2 examples and is useful for explicit culinary-ingredient exclusions such as fats, oils, salt and sugars.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https://iris.paho.org/server/api/core/bitstreams/fc501768-1add-45ae-ae90-bda2dde9b4a9/content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Monteiro et al. commentary on NOVA (PMC)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Useful concise public source for the expanded Group 1 example list, including plain yoghurt, nuts/oilseeds without added salt or sugar, herbs, spices, tea, coffee, and water.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https://pmc.ncbi.nlm.nih.gov/articles/PMC10261019/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Johns Hopkins - Ultra-Processed Foods: Q&amp;A with 2 Dietitians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Useful secondary cross-check for Group 1 examples and clear Group 2 examples such as oils, butter / lard / cream, sugar / honey / maple syrup, and salt.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https://www.hopkinsmedicine.org/health/wellness-and-prevention/ultra-processed-food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Body Pillar Guidance v1.3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