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5a231adc406c8691e206e1af2dd4e54ac72981"/>
    <w:p>
      <w:pPr>
        <w:pStyle w:val="Heading1"/>
      </w:pPr>
      <w:r>
        <w:t xml:space="preserve">Flujo de solicitud documental para emisión de crédito empresarial</w:t>
      </w:r>
    </w:p>
    <w:bookmarkStart w:id="20" w:name="objetivo-del-flujo"/>
    <w:p>
      <w:pPr>
        <w:pStyle w:val="Heading2"/>
      </w:pPr>
      <w:r>
        <w:t xml:space="preserve">1. Objetivo del flujo</w:t>
      </w:r>
    </w:p>
    <w:p>
      <w:pPr>
        <w:pStyle w:val="FirstParagraph"/>
      </w:pPr>
      <w:r>
        <w:t xml:space="preserve">Establecer un proceso escalonado para solicitar documentación a empresas que buscan obtener un crédito, evitando fricción innecesaria en etapas tempranas y asegurando que, conforme aumenta el monto y riesgo de la operación, se integre un expediente financiero, legal, fiscal, crediticio y de garantías suficientemente robusto.</w:t>
      </w:r>
    </w:p>
    <w:p>
      <w:pPr>
        <w:pStyle w:val="BodyText"/>
      </w:pPr>
      <w:r>
        <w:t xml:space="preserve">El flujo se divide en tres niveles: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 sugerido de referencia</w:t>
            </w:r>
          </w:p>
        </w:tc>
        <w:tc>
          <w:tcPr/>
          <w:p>
            <w:pPr>
              <w:pStyle w:val="Compact"/>
            </w:pPr>
            <w:r>
              <w:t xml:space="preserve">Enfoque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 Bajo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Menor a 2 millones de UDIS</w:t>
            </w:r>
          </w:p>
        </w:tc>
        <w:tc>
          <w:tcPr/>
          <w:p>
            <w:pPr>
              <w:pStyle w:val="Compact"/>
            </w:pPr>
            <w:r>
              <w:t xml:space="preserve">Evaluación paramétrica y expediente simplificado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 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Igual o mayor a 2 millones y menor a 4 millones de UDIS</w:t>
            </w:r>
          </w:p>
        </w:tc>
        <w:tc>
          <w:tcPr/>
          <w:p>
            <w:pPr>
              <w:pStyle w:val="Compact"/>
            </w:pPr>
            <w:r>
              <w:t xml:space="preserve">Evaluación paramétrica reforzada más análisis financiero y legal formal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 Alto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Igual o mayor a 4 millones de UDIS</w:t>
            </w:r>
          </w:p>
        </w:tc>
        <w:tc>
          <w:tcPr/>
          <w:p>
            <w:pPr>
              <w:pStyle w:val="Compact"/>
            </w:pPr>
            <w:r>
              <w:t xml:space="preserve">Expediente completo, análisis integral, dictámenes y aprobación colegiada</w:t>
            </w:r>
          </w:p>
        </w:tc>
      </w:tr>
    </w:tbl>
    <w:p>
      <w:pPr>
        <w:pStyle w:val="BodyText"/>
      </w:pPr>
      <w:r>
        <w:t xml:space="preserve">El monto debe calcularse considerando el saldo solicitado, exposiciones existentes con el mismo acreditado y, cuando aplique, exposiciones relacionadas con grupo empresarial, obligados solidarios, avalistas o garantes.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flujo-general"/>
    <w:p>
      <w:pPr>
        <w:pStyle w:val="Heading1"/>
      </w:pPr>
      <w:r>
        <w:t xml:space="preserve">2. Flujo general</w:t>
      </w:r>
    </w:p>
    <w:bookmarkStart w:id="23" w:name="X67786eff6fbce19b2be7280fdf2936979008560"/>
    <w:p>
      <w:pPr>
        <w:pStyle w:val="Heading2"/>
      </w:pPr>
      <w:r>
        <w:t xml:space="preserve">Fase 1. Solicitud inicial y pre-filtro documental</w:t>
      </w:r>
    </w:p>
    <w:p>
      <w:pPr>
        <w:pStyle w:val="FirstParagraph"/>
      </w:pPr>
      <w:r>
        <w:t xml:space="preserve">Antes de pedir el expediente completo, se solicita únicamente la información mínima necesaria para evaluar si la empresa tiene posibilidad real de acceder al crédito solicitado.</w:t>
      </w:r>
    </w:p>
    <w:bookmarkStart w:id="22" w:name="X27ec1f7807092a3c2c183df51d9408dd1291701"/>
    <w:p>
      <w:pPr>
        <w:pStyle w:val="Heading3"/>
      </w:pPr>
      <w:r>
        <w:t xml:space="preserve">Documentación inicial común para los tres niveles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Solicitud preliminar de crédito</w:t>
      </w:r>
    </w:p>
    <w:p>
      <w:pPr>
        <w:pStyle w:val="Compact"/>
        <w:numPr>
          <w:ilvl w:val="1"/>
          <w:numId w:val="1002"/>
        </w:numPr>
      </w:pPr>
      <w:r>
        <w:t xml:space="preserve">Monto solicitado.</w:t>
      </w:r>
    </w:p>
    <w:p>
      <w:pPr>
        <w:pStyle w:val="Compact"/>
        <w:numPr>
          <w:ilvl w:val="1"/>
          <w:numId w:val="1002"/>
        </w:numPr>
      </w:pPr>
      <w:r>
        <w:t xml:space="preserve">Plazo.</w:t>
      </w:r>
    </w:p>
    <w:p>
      <w:pPr>
        <w:pStyle w:val="Compact"/>
        <w:numPr>
          <w:ilvl w:val="1"/>
          <w:numId w:val="1002"/>
        </w:numPr>
      </w:pPr>
      <w:r>
        <w:t xml:space="preserve">Destino del crédito.</w:t>
      </w:r>
    </w:p>
    <w:p>
      <w:pPr>
        <w:pStyle w:val="Compact"/>
        <w:numPr>
          <w:ilvl w:val="1"/>
          <w:numId w:val="1002"/>
        </w:numPr>
      </w:pPr>
      <w:r>
        <w:t xml:space="preserve">Moneda.</w:t>
      </w:r>
    </w:p>
    <w:p>
      <w:pPr>
        <w:pStyle w:val="Compact"/>
        <w:numPr>
          <w:ilvl w:val="1"/>
          <w:numId w:val="1002"/>
        </w:numPr>
      </w:pPr>
      <w:r>
        <w:t xml:space="preserve">Tipo de crédito: simple, revolvente, cuenta corriente, factoraje, capital de trabajo, inversión, etc.</w:t>
      </w:r>
    </w:p>
    <w:p>
      <w:pPr>
        <w:pStyle w:val="Compact"/>
        <w:numPr>
          <w:ilvl w:val="1"/>
          <w:numId w:val="1002"/>
        </w:numPr>
      </w:pPr>
      <w:r>
        <w:t xml:space="preserve">Fuente esperada de pago.</w:t>
      </w:r>
    </w:p>
    <w:p>
      <w:pPr>
        <w:pStyle w:val="Compact"/>
        <w:numPr>
          <w:ilvl w:val="1"/>
          <w:numId w:val="1002"/>
        </w:numPr>
      </w:pPr>
      <w:r>
        <w:t xml:space="preserve">Garantías ofrecidas, en su caso.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Información básica de la empresa</w:t>
      </w:r>
    </w:p>
    <w:p>
      <w:pPr>
        <w:pStyle w:val="Compact"/>
        <w:numPr>
          <w:ilvl w:val="1"/>
          <w:numId w:val="1003"/>
        </w:numPr>
      </w:pPr>
      <w:r>
        <w:t xml:space="preserve">Razón social.</w:t>
      </w:r>
    </w:p>
    <w:p>
      <w:pPr>
        <w:pStyle w:val="Compact"/>
        <w:numPr>
          <w:ilvl w:val="1"/>
          <w:numId w:val="1003"/>
        </w:numPr>
      </w:pPr>
      <w:r>
        <w:t xml:space="preserve">RFC.</w:t>
      </w:r>
    </w:p>
    <w:p>
      <w:pPr>
        <w:pStyle w:val="Compact"/>
        <w:numPr>
          <w:ilvl w:val="1"/>
          <w:numId w:val="1003"/>
        </w:numPr>
      </w:pPr>
      <w:r>
        <w:t xml:space="preserve">Giro o actividad económica.</w:t>
      </w:r>
    </w:p>
    <w:p>
      <w:pPr>
        <w:pStyle w:val="Compact"/>
        <w:numPr>
          <w:ilvl w:val="1"/>
          <w:numId w:val="1003"/>
        </w:numPr>
      </w:pPr>
      <w:r>
        <w:t xml:space="preserve">Antigüedad operativa.</w:t>
      </w:r>
    </w:p>
    <w:p>
      <w:pPr>
        <w:pStyle w:val="Compact"/>
        <w:numPr>
          <w:ilvl w:val="1"/>
          <w:numId w:val="1003"/>
        </w:numPr>
      </w:pPr>
      <w:r>
        <w:t xml:space="preserve">Domicilio fiscal y operativo.</w:t>
      </w:r>
    </w:p>
    <w:p>
      <w:pPr>
        <w:pStyle w:val="Compact"/>
        <w:numPr>
          <w:ilvl w:val="1"/>
          <w:numId w:val="1003"/>
        </w:numPr>
      </w:pPr>
      <w:r>
        <w:t xml:space="preserve">Nombre del representante legal.</w:t>
      </w:r>
    </w:p>
    <w:p>
      <w:pPr>
        <w:pStyle w:val="Compact"/>
        <w:numPr>
          <w:ilvl w:val="1"/>
          <w:numId w:val="1003"/>
        </w:numPr>
      </w:pPr>
      <w:r>
        <w:t xml:space="preserve">Estructura accionaria preliminar.</w:t>
      </w:r>
    </w:p>
    <w:p>
      <w:pPr>
        <w:pStyle w:val="Compact"/>
        <w:numPr>
          <w:ilvl w:val="1"/>
          <w:numId w:val="1003"/>
        </w:numPr>
      </w:pPr>
      <w:r>
        <w:t xml:space="preserve">Principales accionistas o beneficiarios/controladores.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Información financiera inicial</w:t>
      </w:r>
    </w:p>
    <w:p>
      <w:pPr>
        <w:pStyle w:val="Compact"/>
        <w:numPr>
          <w:ilvl w:val="1"/>
          <w:numId w:val="1004"/>
        </w:numPr>
      </w:pPr>
      <w:r>
        <w:t xml:space="preserve">Estados financieros internos más recientes.</w:t>
      </w:r>
    </w:p>
    <w:p>
      <w:pPr>
        <w:pStyle w:val="Compact"/>
        <w:numPr>
          <w:ilvl w:val="1"/>
          <w:numId w:val="1004"/>
        </w:numPr>
      </w:pPr>
      <w:r>
        <w:t xml:space="preserve">Estados de cuenta bancarios de los últimos 6 a 12 meses.</w:t>
      </w:r>
    </w:p>
    <w:p>
      <w:pPr>
        <w:pStyle w:val="Compact"/>
        <w:numPr>
          <w:ilvl w:val="1"/>
          <w:numId w:val="1004"/>
        </w:numPr>
      </w:pPr>
      <w:r>
        <w:t xml:space="preserve">Declaración anual más reciente, si está disponible.</w:t>
      </w:r>
    </w:p>
    <w:p>
      <w:pPr>
        <w:pStyle w:val="Compact"/>
        <w:numPr>
          <w:ilvl w:val="1"/>
          <w:numId w:val="1004"/>
        </w:numPr>
      </w:pPr>
      <w:r>
        <w:t xml:space="preserve">Ventas mensuales estimadas.</w:t>
      </w:r>
    </w:p>
    <w:p>
      <w:pPr>
        <w:pStyle w:val="Compact"/>
        <w:numPr>
          <w:ilvl w:val="1"/>
          <w:numId w:val="1004"/>
        </w:numPr>
      </w:pPr>
      <w:r>
        <w:t xml:space="preserve">Endeudamiento actual.</w:t>
      </w:r>
    </w:p>
    <w:p>
      <w:pPr>
        <w:pStyle w:val="Compact"/>
        <w:numPr>
          <w:ilvl w:val="1"/>
          <w:numId w:val="1004"/>
        </w:numPr>
      </w:pPr>
      <w:r>
        <w:t xml:space="preserve">Principales clientes y proveedores.</w:t>
      </w:r>
    </w:p>
    <w:p>
      <w:pPr>
        <w:pStyle w:val="Compact"/>
        <w:numPr>
          <w:ilvl w:val="1"/>
          <w:numId w:val="1004"/>
        </w:numPr>
      </w:pPr>
      <w:r>
        <w:t xml:space="preserve">Flujo estimado para pago del crédito.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Autorización para consulta de Buró de Crédito</w:t>
      </w:r>
    </w:p>
    <w:p>
      <w:pPr>
        <w:pStyle w:val="Compact"/>
        <w:numPr>
          <w:ilvl w:val="1"/>
          <w:numId w:val="1005"/>
        </w:numPr>
      </w:pPr>
      <w:r>
        <w:t xml:space="preserve">Buró de la empresa.</w:t>
      </w:r>
    </w:p>
    <w:p>
      <w:pPr>
        <w:pStyle w:val="Compact"/>
        <w:numPr>
          <w:ilvl w:val="1"/>
          <w:numId w:val="1005"/>
        </w:numPr>
      </w:pPr>
      <w:r>
        <w:t xml:space="preserve">Buró de accionistas relevantes, obligados solidarios, avalistas o fiadores, si serán considerados en el análisis.</w:t>
      </w:r>
    </w:p>
    <w:p>
      <w:pPr>
        <w:pStyle w:val="Compact"/>
        <w:numPr>
          <w:ilvl w:val="1"/>
          <w:numId w:val="1005"/>
        </w:numPr>
      </w:pPr>
      <w:r>
        <w:t xml:space="preserve">Historial de atraso, claves de observación, consultas recientes, créditos vigentes y comportamiento de pago.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Validaciones preliminares</w:t>
      </w:r>
    </w:p>
    <w:p>
      <w:pPr>
        <w:pStyle w:val="Compact"/>
        <w:numPr>
          <w:ilvl w:val="1"/>
          <w:numId w:val="1006"/>
        </w:numPr>
      </w:pPr>
      <w:r>
        <w:t xml:space="preserve">Estatus fiscal básico.</w:t>
      </w:r>
    </w:p>
    <w:p>
      <w:pPr>
        <w:pStyle w:val="Compact"/>
        <w:numPr>
          <w:ilvl w:val="1"/>
          <w:numId w:val="1006"/>
        </w:numPr>
      </w:pPr>
      <w:r>
        <w:t xml:space="preserve">Existencia de la sociedad.</w:t>
      </w:r>
    </w:p>
    <w:p>
      <w:pPr>
        <w:pStyle w:val="Compact"/>
        <w:numPr>
          <w:ilvl w:val="1"/>
          <w:numId w:val="1006"/>
        </w:numPr>
      </w:pPr>
      <w:r>
        <w:t xml:space="preserve">Actividad económica coherente con ingresos reportados.</w:t>
      </w:r>
    </w:p>
    <w:p>
      <w:pPr>
        <w:pStyle w:val="Compact"/>
        <w:numPr>
          <w:ilvl w:val="1"/>
          <w:numId w:val="1006"/>
        </w:numPr>
      </w:pPr>
      <w:r>
        <w:t xml:space="preserve">Revisión preliminar de listas restrictivas, PEP, sanciones y medios adversos.</w:t>
      </w:r>
    </w:p>
    <w:p>
      <w:pPr>
        <w:pStyle w:val="Compact"/>
        <w:numPr>
          <w:ilvl w:val="1"/>
          <w:numId w:val="1006"/>
        </w:numPr>
      </w:pPr>
      <w:r>
        <w:t xml:space="preserve">Buró legal preliminar: juicios relevantes, demandas, concursos mercantiles, embargos o antecedentes legales significativos.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7" w:name="evaluación-paramétrica-inicial"/>
    <w:p>
      <w:pPr>
        <w:pStyle w:val="Heading1"/>
      </w:pPr>
      <w:r>
        <w:t xml:space="preserve">3. Evaluación paramétrica inicial</w:t>
      </w:r>
    </w:p>
    <w:p>
      <w:pPr>
        <w:pStyle w:val="FirstParagraph"/>
      </w:pPr>
      <w:r>
        <w:t xml:space="preserve">Con la información anterior se ejecuta un modelo paramétrico de pre-aprobación.</w:t>
      </w:r>
    </w:p>
    <w:bookmarkStart w:id="25" w:name="Xa5a43aa847b283214589487e5e9a78a8a98a68c"/>
    <w:p>
      <w:pPr>
        <w:pStyle w:val="Heading2"/>
      </w:pPr>
      <w:r>
        <w:t xml:space="preserve">Variables sugeridas del modelo paramétrico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 de pago</w:t>
            </w:r>
          </w:p>
        </w:tc>
        <w:tc>
          <w:tcPr/>
          <w:p>
            <w:pPr>
              <w:pStyle w:val="Compact"/>
            </w:pPr>
            <w:r>
              <w:t xml:space="preserve">DSCR, flujo operativo, margen EBITDA, utilidad neta, ventas mensuales, volatilidad de ingresos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Endeudamiento</w:t>
            </w:r>
          </w:p>
        </w:tc>
        <w:tc>
          <w:tcPr/>
          <w:p>
            <w:pPr>
              <w:pStyle w:val="Compact"/>
            </w:pPr>
            <w:r>
              <w:t xml:space="preserve">deuda financiera / EBITDA, deuda / ventas, pago mensual de deuda / flujo disponible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Liquidez</w:t>
            </w:r>
          </w:p>
        </w:tc>
        <w:tc>
          <w:tcPr/>
          <w:p>
            <w:pPr>
              <w:pStyle w:val="Compact"/>
            </w:pPr>
            <w:r>
              <w:t xml:space="preserve">efectivo, capital de trabajo, razón circulante, concentración de cobranza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Buró de crédito</w:t>
            </w:r>
          </w:p>
        </w:tc>
        <w:tc>
          <w:tcPr/>
          <w:p>
            <w:pPr>
              <w:pStyle w:val="Compact"/>
            </w:pPr>
            <w:r>
              <w:t xml:space="preserve">atrasos, MOP, claves de observación, utilización de líneas, consultas recientes, experiencia crediticia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Antigüedad</w:t>
            </w:r>
          </w:p>
        </w:tc>
        <w:tc>
          <w:tcPr/>
          <w:p>
            <w:pPr>
              <w:pStyle w:val="Compact"/>
            </w:pPr>
            <w:r>
              <w:t xml:space="preserve">años de operación, estabilidad de ingresos, cambios relevantes en actividad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riesgo sectorial, sensibilidad a tipo de cambio, tasa, materias primas o concentración de clientes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Relación con el banco</w:t>
            </w:r>
          </w:p>
        </w:tc>
        <w:tc>
          <w:tcPr/>
          <w:p>
            <w:pPr>
              <w:pStyle w:val="Compact"/>
            </w:pPr>
            <w:r>
              <w:t xml:space="preserve">historial transaccional, saldos promedio, comportamiento de cuentas, cumplimiento previo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Garantías</w:t>
            </w:r>
          </w:p>
        </w:tc>
        <w:tc>
          <w:tcPr/>
          <w:p>
            <w:pPr>
              <w:pStyle w:val="Compact"/>
            </w:pPr>
            <w:r>
              <w:t xml:space="preserve">tipo de garantía, cobertura estimada, liquidez, facilidad de ejecución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Riesgo legal/PLD</w:t>
            </w:r>
          </w:p>
        </w:tc>
        <w:tc>
          <w:tcPr/>
          <w:p>
            <w:pPr>
              <w:pStyle w:val="Compact"/>
            </w:pPr>
            <w:r>
              <w:t xml:space="preserve">estructura accionaria, beneficiario controlador, listas, PEP, buró legal, objeto social compatible</w:t>
            </w:r>
          </w:p>
        </w:tc>
      </w:tr>
    </w:tbl>
    <w:bookmarkEnd w:id="25"/>
    <w:bookmarkStart w:id="26" w:name="salidas-del-modelo"/>
    <w:p>
      <w:pPr>
        <w:pStyle w:val="Heading2"/>
      </w:pPr>
      <w:r>
        <w:t xml:space="preserve">Salidas del modelo</w:t>
      </w:r>
    </w:p>
    <w:p>
      <w:pPr>
        <w:pStyle w:val="FirstParagraph"/>
      </w:pPr>
      <w:r>
        <w:t xml:space="preserve">El modelo debe clasificar la solicitud en una de cuatro respuestas: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Viable para continuar</w:t>
      </w:r>
    </w:p>
    <w:p>
      <w:pPr>
        <w:pStyle w:val="Compact"/>
        <w:numPr>
          <w:ilvl w:val="1"/>
          <w:numId w:val="1008"/>
        </w:numPr>
      </w:pPr>
      <w:r>
        <w:t xml:space="preserve">Se solicita documentación conforme al nivel de monto.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Viable con ajuste</w:t>
      </w:r>
    </w:p>
    <w:p>
      <w:pPr>
        <w:pStyle w:val="Compact"/>
        <w:numPr>
          <w:ilvl w:val="1"/>
          <w:numId w:val="1009"/>
        </w:numPr>
      </w:pPr>
      <w:r>
        <w:t xml:space="preserve">Se propone menor monto, mayor garantía, menor plazo o incorporación de obligado solidario.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Revisión manual</w:t>
      </w:r>
    </w:p>
    <w:p>
      <w:pPr>
        <w:pStyle w:val="Compact"/>
        <w:numPr>
          <w:ilvl w:val="1"/>
          <w:numId w:val="1010"/>
        </w:numPr>
      </w:pPr>
      <w:r>
        <w:t xml:space="preserve">Se detectan alertas que requieren análisis de crédito, jurídico, cumplimiento o riesgos.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 viable</w:t>
      </w:r>
    </w:p>
    <w:p>
      <w:pPr>
        <w:pStyle w:val="Compact"/>
        <w:numPr>
          <w:ilvl w:val="1"/>
          <w:numId w:val="1011"/>
        </w:numPr>
      </w:pPr>
      <w:r>
        <w:t xml:space="preserve">Se rechaza o se suspende la solicitud sin requerir expediente completo.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vertiente-nivel-bajo"/>
    <w:p>
      <w:pPr>
        <w:pStyle w:val="Heading1"/>
      </w:pPr>
      <w:r>
        <w:t xml:space="preserve">4. Vertiente Nivel Bajo</w:t>
      </w:r>
    </w:p>
    <w:bookmarkStart w:id="28" w:name="perfil"/>
    <w:p>
      <w:pPr>
        <w:pStyle w:val="Heading2"/>
      </w:pPr>
      <w:r>
        <w:t xml:space="preserve">Perfil</w:t>
      </w:r>
    </w:p>
    <w:p>
      <w:pPr>
        <w:pStyle w:val="FirstParagraph"/>
      </w:pPr>
      <w:r>
        <w:t xml:space="preserve">Créditos de monto bajo, preferentemente con estructura simple, fuente de pago clara y riesgo acotado. El objetivo es tener una originación rápida, con expediente suficiente, pero sin solicitar documentación excesiva desde el inicio.</w:t>
      </w:r>
    </w:p>
    <w:bookmarkEnd w:id="28"/>
    <w:bookmarkStart w:id="34" w:name="X1247ef574e562a9087488394010964c05b271f0"/>
    <w:p>
      <w:pPr>
        <w:pStyle w:val="Heading2"/>
      </w:pPr>
      <w:r>
        <w:t xml:space="preserve">Documentos requeridos después de pre-aprobación paramétrica</w:t>
      </w:r>
    </w:p>
    <w:bookmarkStart w:id="29" w:name="a.-identificación-fiscal-y-corporativa"/>
    <w:p>
      <w:pPr>
        <w:pStyle w:val="Heading3"/>
      </w:pPr>
      <w:r>
        <w:t xml:space="preserve">A. Identificación fiscal y corporativa</w:t>
      </w:r>
    </w:p>
    <w:p>
      <w:pPr>
        <w:pStyle w:val="Compact"/>
        <w:numPr>
          <w:ilvl w:val="0"/>
          <w:numId w:val="1012"/>
        </w:numPr>
      </w:pPr>
      <w:r>
        <w:t xml:space="preserve">Cédula de Identificación Fiscal o Constancia de Situación Fiscal.</w:t>
      </w:r>
    </w:p>
    <w:p>
      <w:pPr>
        <w:pStyle w:val="Compact"/>
        <w:numPr>
          <w:ilvl w:val="0"/>
          <w:numId w:val="1012"/>
        </w:numPr>
      </w:pPr>
      <w:r>
        <w:t xml:space="preserve">Acta constitutiva.</w:t>
      </w:r>
    </w:p>
    <w:p>
      <w:pPr>
        <w:pStyle w:val="Compact"/>
        <w:numPr>
          <w:ilvl w:val="0"/>
          <w:numId w:val="1012"/>
        </w:numPr>
      </w:pPr>
      <w:r>
        <w:t xml:space="preserve">Estatutos vigentes, si son distintos al acta constitutiva.</w:t>
      </w:r>
    </w:p>
    <w:p>
      <w:pPr>
        <w:pStyle w:val="Compact"/>
        <w:numPr>
          <w:ilvl w:val="0"/>
          <w:numId w:val="1012"/>
        </w:numPr>
      </w:pPr>
      <w:r>
        <w:t xml:space="preserve">Poderes del representante legal.</w:t>
      </w:r>
    </w:p>
    <w:p>
      <w:pPr>
        <w:pStyle w:val="Compact"/>
        <w:numPr>
          <w:ilvl w:val="0"/>
          <w:numId w:val="1012"/>
        </w:numPr>
      </w:pPr>
      <w:r>
        <w:t xml:space="preserve">Identificación oficial del representante legal.</w:t>
      </w:r>
    </w:p>
    <w:p>
      <w:pPr>
        <w:pStyle w:val="Compact"/>
        <w:numPr>
          <w:ilvl w:val="0"/>
          <w:numId w:val="1012"/>
        </w:numPr>
      </w:pPr>
      <w:r>
        <w:t xml:space="preserve">Comprobante de domicilio fiscal u operativo.</w:t>
      </w:r>
    </w:p>
    <w:p>
      <w:pPr>
        <w:pStyle w:val="Compact"/>
        <w:numPr>
          <w:ilvl w:val="0"/>
          <w:numId w:val="1012"/>
        </w:numPr>
      </w:pPr>
      <w:r>
        <w:t xml:space="preserve">Estructura accionaria simple.</w:t>
      </w:r>
    </w:p>
    <w:p>
      <w:pPr>
        <w:pStyle w:val="Compact"/>
        <w:numPr>
          <w:ilvl w:val="0"/>
          <w:numId w:val="1012"/>
        </w:numPr>
      </w:pPr>
      <w:r>
        <w:t xml:space="preserve">Identificación de accionistas relevantes o beneficiarios controladores, cuando aplique.</w:t>
      </w:r>
    </w:p>
    <w:bookmarkEnd w:id="29"/>
    <w:bookmarkStart w:id="30" w:name="b.-información-financiera"/>
    <w:p>
      <w:pPr>
        <w:pStyle w:val="Heading3"/>
      </w:pPr>
      <w:r>
        <w:t xml:space="preserve">B. Información financiera</w:t>
      </w:r>
    </w:p>
    <w:p>
      <w:pPr>
        <w:pStyle w:val="Compact"/>
        <w:numPr>
          <w:ilvl w:val="0"/>
          <w:numId w:val="1013"/>
        </w:numPr>
      </w:pPr>
      <w:r>
        <w:t xml:space="preserve">Estados financieros internos recientes.</w:t>
      </w:r>
    </w:p>
    <w:p>
      <w:pPr>
        <w:pStyle w:val="Compact"/>
        <w:numPr>
          <w:ilvl w:val="0"/>
          <w:numId w:val="1013"/>
        </w:numPr>
      </w:pPr>
      <w:r>
        <w:t xml:space="preserve">Estados de cuenta bancarios de 6 a 12 meses.</w:t>
      </w:r>
    </w:p>
    <w:p>
      <w:pPr>
        <w:pStyle w:val="Compact"/>
        <w:numPr>
          <w:ilvl w:val="0"/>
          <w:numId w:val="1013"/>
        </w:numPr>
      </w:pPr>
      <w:r>
        <w:t xml:space="preserve">Declaración anual más reciente, si está disponible.</w:t>
      </w:r>
    </w:p>
    <w:p>
      <w:pPr>
        <w:pStyle w:val="Compact"/>
        <w:numPr>
          <w:ilvl w:val="0"/>
          <w:numId w:val="1013"/>
        </w:numPr>
      </w:pPr>
      <w:r>
        <w:t xml:space="preserve">Relación de deuda vigente.</w:t>
      </w:r>
    </w:p>
    <w:p>
      <w:pPr>
        <w:pStyle w:val="Compact"/>
        <w:numPr>
          <w:ilvl w:val="0"/>
          <w:numId w:val="1013"/>
        </w:numPr>
      </w:pPr>
      <w:r>
        <w:t xml:space="preserve">Información básica de ventas y flujo.</w:t>
      </w:r>
    </w:p>
    <w:bookmarkEnd w:id="30"/>
    <w:bookmarkStart w:id="31" w:name="c.-información-crediticia-y-legal"/>
    <w:p>
      <w:pPr>
        <w:pStyle w:val="Heading3"/>
      </w:pPr>
      <w:r>
        <w:t xml:space="preserve">C. Información crediticia y legal</w:t>
      </w:r>
    </w:p>
    <w:p>
      <w:pPr>
        <w:pStyle w:val="Compact"/>
        <w:numPr>
          <w:ilvl w:val="0"/>
          <w:numId w:val="1014"/>
        </w:numPr>
      </w:pPr>
      <w:r>
        <w:t xml:space="preserve">Reporte de Buró de Crédito de la empresa.</w:t>
      </w:r>
    </w:p>
    <w:p>
      <w:pPr>
        <w:pStyle w:val="Compact"/>
        <w:numPr>
          <w:ilvl w:val="0"/>
          <w:numId w:val="1014"/>
        </w:numPr>
      </w:pPr>
      <w:r>
        <w:t xml:space="preserve">Reporte de Buró de Crédito de obligados solidarios, avalistas o fiadores, si aplica.</w:t>
      </w:r>
    </w:p>
    <w:p>
      <w:pPr>
        <w:pStyle w:val="Compact"/>
        <w:numPr>
          <w:ilvl w:val="0"/>
          <w:numId w:val="1014"/>
        </w:numPr>
      </w:pPr>
      <w:r>
        <w:t xml:space="preserve">Buró legal preliminar.</w:t>
      </w:r>
    </w:p>
    <w:p>
      <w:pPr>
        <w:pStyle w:val="Compact"/>
        <w:numPr>
          <w:ilvl w:val="0"/>
          <w:numId w:val="1014"/>
        </w:numPr>
      </w:pPr>
      <w:r>
        <w:t xml:space="preserve">Validación de existencia de sociedad.</w:t>
      </w:r>
    </w:p>
    <w:p>
      <w:pPr>
        <w:pStyle w:val="Compact"/>
        <w:numPr>
          <w:ilvl w:val="0"/>
          <w:numId w:val="1014"/>
        </w:numPr>
      </w:pPr>
      <w:r>
        <w:t xml:space="preserve">Validación de poderes para firmar contratos o títulos de crédito.</w:t>
      </w:r>
    </w:p>
    <w:bookmarkEnd w:id="31"/>
    <w:bookmarkStart w:id="32" w:name="d.-garantías"/>
    <w:p>
      <w:pPr>
        <w:pStyle w:val="Heading3"/>
      </w:pPr>
      <w:r>
        <w:t xml:space="preserve">D. Garantías</w:t>
      </w:r>
    </w:p>
    <w:p>
      <w:pPr>
        <w:pStyle w:val="FirstParagraph"/>
      </w:pPr>
      <w:r>
        <w:t xml:space="preserve">Cuando el crédito sea quirografario, se documenta expresamente que no hay garantía real.</w:t>
      </w:r>
      <w:r>
        <w:br/>
      </w:r>
      <w:r>
        <w:t xml:space="preserve">Cuando exista garantía, se solicita:</w:t>
      </w:r>
    </w:p>
    <w:p>
      <w:pPr>
        <w:pStyle w:val="Compact"/>
        <w:numPr>
          <w:ilvl w:val="0"/>
          <w:numId w:val="1015"/>
        </w:numPr>
      </w:pPr>
      <w:r>
        <w:t xml:space="preserve">Descripción de la garantía.</w:t>
      </w:r>
    </w:p>
    <w:p>
      <w:pPr>
        <w:pStyle w:val="Compact"/>
        <w:numPr>
          <w:ilvl w:val="0"/>
          <w:numId w:val="1015"/>
        </w:numPr>
      </w:pPr>
      <w:r>
        <w:t xml:space="preserve">Documento que acredite propiedad.</w:t>
      </w:r>
    </w:p>
    <w:p>
      <w:pPr>
        <w:pStyle w:val="Compact"/>
        <w:numPr>
          <w:ilvl w:val="0"/>
          <w:numId w:val="1015"/>
        </w:numPr>
      </w:pPr>
      <w:r>
        <w:t xml:space="preserve">Verificación básica de gravámenes.</w:t>
      </w:r>
    </w:p>
    <w:p>
      <w:pPr>
        <w:pStyle w:val="Compact"/>
        <w:numPr>
          <w:ilvl w:val="0"/>
          <w:numId w:val="1015"/>
        </w:numPr>
      </w:pPr>
      <w:r>
        <w:t xml:space="preserve">Valor estimado o avalúo simplificado, según política interna.</w:t>
      </w:r>
    </w:p>
    <w:p>
      <w:pPr>
        <w:pStyle w:val="Compact"/>
        <w:numPr>
          <w:ilvl w:val="0"/>
          <w:numId w:val="1015"/>
        </w:numPr>
      </w:pPr>
      <w:r>
        <w:t xml:space="preserve">Seguro, si el tipo de bien lo requiere.</w:t>
      </w:r>
    </w:p>
    <w:bookmarkEnd w:id="32"/>
    <w:bookmarkStart w:id="33" w:name="e.-aprobación"/>
    <w:p>
      <w:pPr>
        <w:pStyle w:val="Heading3"/>
      </w:pPr>
      <w:r>
        <w:t xml:space="preserve">E. Aprobación</w:t>
      </w:r>
    </w:p>
    <w:p>
      <w:pPr>
        <w:pStyle w:val="FirstParagraph"/>
      </w:pPr>
      <w:r>
        <w:t xml:space="preserve">Puede aprobarse por facultad individual o comité menor, según política interna.</w:t>
      </w:r>
      <w:r>
        <w:br/>
      </w:r>
      <w:r>
        <w:t xml:space="preserve">La aprobación debe documentar:</w:t>
      </w:r>
    </w:p>
    <w:p>
      <w:pPr>
        <w:pStyle w:val="Compact"/>
        <w:numPr>
          <w:ilvl w:val="0"/>
          <w:numId w:val="1016"/>
        </w:numPr>
      </w:pPr>
      <w:r>
        <w:t xml:space="preserve">Resultado del modelo paramétrico.</w:t>
      </w:r>
    </w:p>
    <w:p>
      <w:pPr>
        <w:pStyle w:val="Compact"/>
        <w:numPr>
          <w:ilvl w:val="0"/>
          <w:numId w:val="1016"/>
        </w:numPr>
      </w:pPr>
      <w:r>
        <w:t xml:space="preserve">Monto autorizado.</w:t>
      </w:r>
    </w:p>
    <w:p>
      <w:pPr>
        <w:pStyle w:val="Compact"/>
        <w:numPr>
          <w:ilvl w:val="0"/>
          <w:numId w:val="1016"/>
        </w:numPr>
      </w:pPr>
      <w:r>
        <w:t xml:space="preserve">Plazo.</w:t>
      </w:r>
    </w:p>
    <w:p>
      <w:pPr>
        <w:pStyle w:val="Compact"/>
        <w:numPr>
          <w:ilvl w:val="0"/>
          <w:numId w:val="1016"/>
        </w:numPr>
      </w:pPr>
      <w:r>
        <w:t xml:space="preserve">Tasa.</w:t>
      </w:r>
    </w:p>
    <w:p>
      <w:pPr>
        <w:pStyle w:val="Compact"/>
        <w:numPr>
          <w:ilvl w:val="0"/>
          <w:numId w:val="1016"/>
        </w:numPr>
      </w:pPr>
      <w:r>
        <w:t xml:space="preserve">Fuente de pago.</w:t>
      </w:r>
    </w:p>
    <w:p>
      <w:pPr>
        <w:pStyle w:val="Compact"/>
        <w:numPr>
          <w:ilvl w:val="0"/>
          <w:numId w:val="1016"/>
        </w:numPr>
      </w:pPr>
      <w:r>
        <w:t xml:space="preserve">Garantías.</w:t>
      </w:r>
    </w:p>
    <w:p>
      <w:pPr>
        <w:pStyle w:val="Compact"/>
        <w:numPr>
          <w:ilvl w:val="0"/>
          <w:numId w:val="1016"/>
        </w:numPr>
      </w:pPr>
      <w:r>
        <w:t xml:space="preserve">Condiciones previas a disposición.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3" w:name="vertiente-nivel-medio"/>
    <w:p>
      <w:pPr>
        <w:pStyle w:val="Heading1"/>
      </w:pPr>
      <w:r>
        <w:t xml:space="preserve">5. Vertiente Nivel Medio</w:t>
      </w:r>
    </w:p>
    <w:bookmarkStart w:id="36" w:name="perfil-1"/>
    <w:p>
      <w:pPr>
        <w:pStyle w:val="Heading2"/>
      </w:pPr>
      <w:r>
        <w:t xml:space="preserve">Perfil</w:t>
      </w:r>
    </w:p>
    <w:p>
      <w:pPr>
        <w:pStyle w:val="FirstParagraph"/>
      </w:pPr>
      <w:r>
        <w:t xml:space="preserve">Créditos donde el monto ya justifica una revisión financiera, jurídica y de garantías más profunda. El modelo paramétrico puede usarse como primera decisión, pero debe complementarse con análisis financiero y validación documental formal.</w:t>
      </w:r>
    </w:p>
    <w:bookmarkEnd w:id="36"/>
    <w:bookmarkStart w:id="42" w:name="Xc3004e53da5b2b49bb24457f771cd6fce75dd5d"/>
    <w:p>
      <w:pPr>
        <w:pStyle w:val="Heading2"/>
      </w:pPr>
      <w:r>
        <w:t xml:space="preserve">Documentos requeridos después de pre-aprobación</w:t>
      </w:r>
    </w:p>
    <w:bookmarkStart w:id="37" w:name="X76924e44fe08c9f1f0d9634efd43a776054cf87"/>
    <w:p>
      <w:pPr>
        <w:pStyle w:val="Heading3"/>
      </w:pPr>
      <w:r>
        <w:t xml:space="preserve">A. Identificación fiscal, corporativa y legal</w:t>
      </w:r>
    </w:p>
    <w:p>
      <w:pPr>
        <w:pStyle w:val="Compact"/>
        <w:numPr>
          <w:ilvl w:val="0"/>
          <w:numId w:val="1017"/>
        </w:numPr>
      </w:pPr>
      <w:r>
        <w:t xml:space="preserve">Cédula de Identificación Fiscal o Constancia de Situación Fiscal.</w:t>
      </w:r>
    </w:p>
    <w:p>
      <w:pPr>
        <w:pStyle w:val="Compact"/>
        <w:numPr>
          <w:ilvl w:val="0"/>
          <w:numId w:val="1017"/>
        </w:numPr>
      </w:pPr>
      <w:r>
        <w:t xml:space="preserve">Acta constitutiva.</w:t>
      </w:r>
    </w:p>
    <w:p>
      <w:pPr>
        <w:pStyle w:val="Compact"/>
        <w:numPr>
          <w:ilvl w:val="0"/>
          <w:numId w:val="1017"/>
        </w:numPr>
      </w:pPr>
      <w:r>
        <w:t xml:space="preserve">Reformas estatutarias.</w:t>
      </w:r>
    </w:p>
    <w:p>
      <w:pPr>
        <w:pStyle w:val="Compact"/>
        <w:numPr>
          <w:ilvl w:val="0"/>
          <w:numId w:val="1017"/>
        </w:numPr>
      </w:pPr>
      <w:r>
        <w:t xml:space="preserve">Estatutos sociales vigentes.</w:t>
      </w:r>
    </w:p>
    <w:p>
      <w:pPr>
        <w:pStyle w:val="Compact"/>
        <w:numPr>
          <w:ilvl w:val="0"/>
          <w:numId w:val="1017"/>
        </w:numPr>
      </w:pPr>
      <w:r>
        <w:t xml:space="preserve">Poderes vigentes.</w:t>
      </w:r>
    </w:p>
    <w:p>
      <w:pPr>
        <w:pStyle w:val="Compact"/>
        <w:numPr>
          <w:ilvl w:val="0"/>
          <w:numId w:val="1017"/>
        </w:numPr>
      </w:pPr>
      <w:r>
        <w:t xml:space="preserve">Identificaciones oficiales de representantes legales.</w:t>
      </w:r>
    </w:p>
    <w:p>
      <w:pPr>
        <w:pStyle w:val="Compact"/>
        <w:numPr>
          <w:ilvl w:val="0"/>
          <w:numId w:val="1017"/>
        </w:numPr>
      </w:pPr>
      <w:r>
        <w:t xml:space="preserve">Comprobante de domicilio.</w:t>
      </w:r>
    </w:p>
    <w:p>
      <w:pPr>
        <w:pStyle w:val="Compact"/>
        <w:numPr>
          <w:ilvl w:val="0"/>
          <w:numId w:val="1017"/>
        </w:numPr>
      </w:pPr>
      <w:r>
        <w:t xml:space="preserve">Estructura accionaria actual.</w:t>
      </w:r>
    </w:p>
    <w:p>
      <w:pPr>
        <w:pStyle w:val="Compact"/>
        <w:numPr>
          <w:ilvl w:val="0"/>
          <w:numId w:val="1017"/>
        </w:numPr>
      </w:pPr>
      <w:r>
        <w:t xml:space="preserve">Identificación de beneficiarios controladores o propietarios reales.</w:t>
      </w:r>
    </w:p>
    <w:p>
      <w:pPr>
        <w:pStyle w:val="Compact"/>
        <w:numPr>
          <w:ilvl w:val="0"/>
          <w:numId w:val="1017"/>
        </w:numPr>
      </w:pPr>
      <w:r>
        <w:t xml:space="preserve">Verificación de sociedad ante registro público o fuente equivalente.</w:t>
      </w:r>
    </w:p>
    <w:p>
      <w:pPr>
        <w:pStyle w:val="Compact"/>
        <w:numPr>
          <w:ilvl w:val="0"/>
          <w:numId w:val="1017"/>
        </w:numPr>
      </w:pPr>
      <w:r>
        <w:t xml:space="preserve">Dictamen jurídico formal que valide:</w:t>
      </w:r>
    </w:p>
    <w:p>
      <w:pPr>
        <w:pStyle w:val="Compact"/>
        <w:numPr>
          <w:ilvl w:val="0"/>
          <w:numId w:val="1018"/>
        </w:numPr>
      </w:pPr>
      <w:r>
        <w:t xml:space="preserve">Existencia legal.</w:t>
      </w:r>
    </w:p>
    <w:p>
      <w:pPr>
        <w:pStyle w:val="Compact"/>
        <w:numPr>
          <w:ilvl w:val="0"/>
          <w:numId w:val="1018"/>
        </w:numPr>
      </w:pPr>
      <w:r>
        <w:t xml:space="preserve">Objeto social compatible con el crédito.</w:t>
      </w:r>
    </w:p>
    <w:p>
      <w:pPr>
        <w:pStyle w:val="Compact"/>
        <w:numPr>
          <w:ilvl w:val="0"/>
          <w:numId w:val="1018"/>
        </w:numPr>
      </w:pPr>
      <w:r>
        <w:t xml:space="preserve">Facultades de representantes.</w:t>
      </w:r>
    </w:p>
    <w:p>
      <w:pPr>
        <w:pStyle w:val="Compact"/>
        <w:numPr>
          <w:ilvl w:val="0"/>
          <w:numId w:val="1018"/>
        </w:numPr>
      </w:pPr>
      <w:r>
        <w:t xml:space="preserve">Vigencia de poderes.</w:t>
      </w:r>
    </w:p>
    <w:p>
      <w:pPr>
        <w:pStyle w:val="Compact"/>
        <w:numPr>
          <w:ilvl w:val="0"/>
          <w:numId w:val="1018"/>
        </w:numPr>
      </w:pPr>
      <w:r>
        <w:t xml:space="preserve">Capacidad para contratar deuda y otorgar garantías.</w:t>
      </w:r>
    </w:p>
    <w:p>
      <w:pPr>
        <w:pStyle w:val="Compact"/>
        <w:numPr>
          <w:ilvl w:val="0"/>
          <w:numId w:val="1018"/>
        </w:numPr>
      </w:pPr>
      <w:r>
        <w:t xml:space="preserve">Restricciones estatutarias relevantes.</w:t>
      </w:r>
    </w:p>
    <w:bookmarkEnd w:id="37"/>
    <w:bookmarkStart w:id="38" w:name="b.-información-financiera-1"/>
    <w:p>
      <w:pPr>
        <w:pStyle w:val="Heading3"/>
      </w:pPr>
      <w:r>
        <w:t xml:space="preserve">B. Información financiera</w:t>
      </w:r>
    </w:p>
    <w:p>
      <w:pPr>
        <w:pStyle w:val="Compact"/>
        <w:numPr>
          <w:ilvl w:val="0"/>
          <w:numId w:val="1019"/>
        </w:numPr>
      </w:pPr>
      <w:r>
        <w:t xml:space="preserve">Estados financieros internos de los dos últimos ejercicios.</w:t>
      </w:r>
    </w:p>
    <w:p>
      <w:pPr>
        <w:pStyle w:val="Compact"/>
        <w:numPr>
          <w:ilvl w:val="0"/>
          <w:numId w:val="1019"/>
        </w:numPr>
      </w:pPr>
      <w:r>
        <w:t xml:space="preserve">Estados financieros parciales del ejercicio vigente, con antigüedad no mayor a seis meses.</w:t>
      </w:r>
    </w:p>
    <w:p>
      <w:pPr>
        <w:pStyle w:val="Compact"/>
        <w:numPr>
          <w:ilvl w:val="0"/>
          <w:numId w:val="1019"/>
        </w:numPr>
      </w:pPr>
      <w:r>
        <w:t xml:space="preserve">Declaraciones anuales de los dos últimos ejercicios.</w:t>
      </w:r>
    </w:p>
    <w:p>
      <w:pPr>
        <w:pStyle w:val="Compact"/>
        <w:numPr>
          <w:ilvl w:val="0"/>
          <w:numId w:val="1019"/>
        </w:numPr>
      </w:pPr>
      <w:r>
        <w:t xml:space="preserve">Estados de cuenta bancarios de 12 meses.</w:t>
      </w:r>
    </w:p>
    <w:p>
      <w:pPr>
        <w:pStyle w:val="Compact"/>
        <w:numPr>
          <w:ilvl w:val="0"/>
          <w:numId w:val="1019"/>
        </w:numPr>
      </w:pPr>
      <w:r>
        <w:t xml:space="preserve">Relación de deuda financiera vigente.</w:t>
      </w:r>
    </w:p>
    <w:p>
      <w:pPr>
        <w:pStyle w:val="Compact"/>
        <w:numPr>
          <w:ilvl w:val="0"/>
          <w:numId w:val="1019"/>
        </w:numPr>
      </w:pPr>
      <w:r>
        <w:t xml:space="preserve">Calendario de pagos de deuda.</w:t>
      </w:r>
    </w:p>
    <w:p>
      <w:pPr>
        <w:pStyle w:val="Compact"/>
        <w:numPr>
          <w:ilvl w:val="0"/>
          <w:numId w:val="1019"/>
        </w:numPr>
      </w:pPr>
      <w:r>
        <w:t xml:space="preserve">Flujo de efectivo proyectado durante la vida del crédito.</w:t>
      </w:r>
    </w:p>
    <w:p>
      <w:pPr>
        <w:pStyle w:val="Compact"/>
        <w:numPr>
          <w:ilvl w:val="0"/>
          <w:numId w:val="1019"/>
        </w:numPr>
      </w:pPr>
      <w:r>
        <w:t xml:space="preserve">Principales clientes y proveedores.</w:t>
      </w:r>
    </w:p>
    <w:p>
      <w:pPr>
        <w:pStyle w:val="Compact"/>
        <w:numPr>
          <w:ilvl w:val="0"/>
          <w:numId w:val="1019"/>
        </w:numPr>
      </w:pPr>
      <w:r>
        <w:t xml:space="preserve">Antigüedad de cuentas por cobrar y cuentas por pagar.</w:t>
      </w:r>
    </w:p>
    <w:p>
      <w:pPr>
        <w:pStyle w:val="Compact"/>
        <w:numPr>
          <w:ilvl w:val="0"/>
          <w:numId w:val="1019"/>
        </w:numPr>
      </w:pPr>
      <w:r>
        <w:t xml:space="preserve">Explicación del destino del crédito.</w:t>
      </w:r>
    </w:p>
    <w:bookmarkEnd w:id="38"/>
    <w:bookmarkStart w:id="39" w:name="c.-información-crediticia-y-legal-1"/>
    <w:p>
      <w:pPr>
        <w:pStyle w:val="Heading3"/>
      </w:pPr>
      <w:r>
        <w:t xml:space="preserve">C. Información crediticia y legal</w:t>
      </w:r>
    </w:p>
    <w:p>
      <w:pPr>
        <w:pStyle w:val="Compact"/>
        <w:numPr>
          <w:ilvl w:val="0"/>
          <w:numId w:val="1020"/>
        </w:numPr>
      </w:pPr>
      <w:r>
        <w:t xml:space="preserve">Buró de Crédito de la empresa.</w:t>
      </w:r>
    </w:p>
    <w:p>
      <w:pPr>
        <w:pStyle w:val="Compact"/>
        <w:numPr>
          <w:ilvl w:val="0"/>
          <w:numId w:val="1020"/>
        </w:numPr>
      </w:pPr>
      <w:r>
        <w:t xml:space="preserve">Buró de Crédito de obligados solidarios, avalistas, fiadores o garantes.</w:t>
      </w:r>
    </w:p>
    <w:p>
      <w:pPr>
        <w:pStyle w:val="Compact"/>
        <w:numPr>
          <w:ilvl w:val="0"/>
          <w:numId w:val="1020"/>
        </w:numPr>
      </w:pPr>
      <w:r>
        <w:t xml:space="preserve">Buró legal completo.</w:t>
      </w:r>
    </w:p>
    <w:p>
      <w:pPr>
        <w:pStyle w:val="Compact"/>
        <w:numPr>
          <w:ilvl w:val="0"/>
          <w:numId w:val="1020"/>
        </w:numPr>
      </w:pPr>
      <w:r>
        <w:t xml:space="preserve">Revisión de concursos mercantiles, demandas, embargos, gravámenes relevantes o contingencias.</w:t>
      </w:r>
    </w:p>
    <w:p>
      <w:pPr>
        <w:pStyle w:val="Compact"/>
        <w:numPr>
          <w:ilvl w:val="0"/>
          <w:numId w:val="1020"/>
        </w:numPr>
      </w:pPr>
      <w:r>
        <w:t xml:space="preserve">Revisión de listas restrictivas, PEP, sanciones, medios adversos y PLD.</w:t>
      </w:r>
    </w:p>
    <w:p>
      <w:pPr>
        <w:pStyle w:val="Compact"/>
        <w:numPr>
          <w:ilvl w:val="0"/>
          <w:numId w:val="1020"/>
        </w:numPr>
      </w:pPr>
      <w:r>
        <w:t xml:space="preserve">Validación fiscal básica.</w:t>
      </w:r>
    </w:p>
    <w:bookmarkEnd w:id="39"/>
    <w:bookmarkStart w:id="40" w:name="d.-garantías-1"/>
    <w:p>
      <w:pPr>
        <w:pStyle w:val="Heading3"/>
      </w:pPr>
      <w:r>
        <w:t xml:space="preserve">D. Garantías</w:t>
      </w:r>
    </w:p>
    <w:p>
      <w:pPr>
        <w:pStyle w:val="FirstParagraph"/>
      </w:pPr>
      <w:r>
        <w:t xml:space="preserve">Si existen garantías reales o personales, deben integrarse:</w:t>
      </w:r>
    </w:p>
    <w:p>
      <w:pPr>
        <w:pStyle w:val="Compact"/>
        <w:numPr>
          <w:ilvl w:val="0"/>
          <w:numId w:val="1021"/>
        </w:numPr>
      </w:pPr>
      <w:r>
        <w:t xml:space="preserve">Descripción jurídica y económica de la garantía.</w:t>
      </w:r>
    </w:p>
    <w:p>
      <w:pPr>
        <w:pStyle w:val="Compact"/>
        <w:numPr>
          <w:ilvl w:val="0"/>
          <w:numId w:val="1021"/>
        </w:numPr>
      </w:pPr>
      <w:r>
        <w:t xml:space="preserve">Documento de propiedad.</w:t>
      </w:r>
    </w:p>
    <w:p>
      <w:pPr>
        <w:pStyle w:val="Compact"/>
        <w:numPr>
          <w:ilvl w:val="0"/>
          <w:numId w:val="1021"/>
        </w:numPr>
      </w:pPr>
      <w:r>
        <w:t xml:space="preserve">Avalúo actualizado, si aplica.</w:t>
      </w:r>
    </w:p>
    <w:p>
      <w:pPr>
        <w:pStyle w:val="Compact"/>
        <w:numPr>
          <w:ilvl w:val="0"/>
          <w:numId w:val="1021"/>
        </w:numPr>
      </w:pPr>
      <w:r>
        <w:t xml:space="preserve">Certificado de libertad de gravamen o verificación equivalente.</w:t>
      </w:r>
    </w:p>
    <w:p>
      <w:pPr>
        <w:pStyle w:val="Compact"/>
        <w:numPr>
          <w:ilvl w:val="0"/>
          <w:numId w:val="1021"/>
        </w:numPr>
      </w:pPr>
      <w:r>
        <w:t xml:space="preserve">Verificación de inscripción en Registro Público, si aplica.</w:t>
      </w:r>
    </w:p>
    <w:p>
      <w:pPr>
        <w:pStyle w:val="Compact"/>
        <w:numPr>
          <w:ilvl w:val="0"/>
          <w:numId w:val="1021"/>
        </w:numPr>
      </w:pPr>
      <w:r>
        <w:t xml:space="preserve">Proyecto de contrato de garantía.</w:t>
      </w:r>
    </w:p>
    <w:p>
      <w:pPr>
        <w:pStyle w:val="Compact"/>
        <w:numPr>
          <w:ilvl w:val="0"/>
          <w:numId w:val="1021"/>
        </w:numPr>
      </w:pPr>
      <w:r>
        <w:t xml:space="preserve">Póliza de seguro a favor de la institución, cuando corresponda.</w:t>
      </w:r>
    </w:p>
    <w:p>
      <w:pPr>
        <w:pStyle w:val="Compact"/>
        <w:numPr>
          <w:ilvl w:val="0"/>
          <w:numId w:val="1021"/>
        </w:numPr>
      </w:pPr>
      <w:r>
        <w:t xml:space="preserve">Visita ocular o validación física, cuando la garantía lo amerite.</w:t>
      </w:r>
    </w:p>
    <w:bookmarkEnd w:id="40"/>
    <w:bookmarkStart w:id="41" w:name="e.-aprobación-1"/>
    <w:p>
      <w:pPr>
        <w:pStyle w:val="Heading3"/>
      </w:pPr>
      <w:r>
        <w:t xml:space="preserve">E. Aprobación</w:t>
      </w:r>
    </w:p>
    <w:p>
      <w:pPr>
        <w:pStyle w:val="FirstParagraph"/>
      </w:pPr>
      <w:r>
        <w:t xml:space="preserve">Debe existir análisis formal de crédito que incluya:</w:t>
      </w:r>
    </w:p>
    <w:p>
      <w:pPr>
        <w:pStyle w:val="Compact"/>
        <w:numPr>
          <w:ilvl w:val="0"/>
          <w:numId w:val="1022"/>
        </w:numPr>
      </w:pPr>
      <w:r>
        <w:t xml:space="preserve">Resultado del modelo paramétrico.</w:t>
      </w:r>
    </w:p>
    <w:p>
      <w:pPr>
        <w:pStyle w:val="Compact"/>
        <w:numPr>
          <w:ilvl w:val="0"/>
          <w:numId w:val="1022"/>
        </w:numPr>
      </w:pPr>
      <w:r>
        <w:t xml:space="preserve">Análisis financiero histórico.</w:t>
      </w:r>
    </w:p>
    <w:p>
      <w:pPr>
        <w:pStyle w:val="Compact"/>
        <w:numPr>
          <w:ilvl w:val="0"/>
          <w:numId w:val="1022"/>
        </w:numPr>
      </w:pPr>
      <w:r>
        <w:t xml:space="preserve">Análisis de flujo de pago.</w:t>
      </w:r>
    </w:p>
    <w:p>
      <w:pPr>
        <w:pStyle w:val="Compact"/>
        <w:numPr>
          <w:ilvl w:val="0"/>
          <w:numId w:val="1022"/>
        </w:numPr>
      </w:pPr>
      <w:r>
        <w:t xml:space="preserve">Sensibilidad de ingresos, tasa, tipo de cambio o concentración.</w:t>
      </w:r>
    </w:p>
    <w:p>
      <w:pPr>
        <w:pStyle w:val="Compact"/>
        <w:numPr>
          <w:ilvl w:val="0"/>
          <w:numId w:val="1022"/>
        </w:numPr>
      </w:pPr>
      <w:r>
        <w:t xml:space="preserve">Evaluación de garantías.</w:t>
      </w:r>
    </w:p>
    <w:p>
      <w:pPr>
        <w:pStyle w:val="Compact"/>
        <w:numPr>
          <w:ilvl w:val="0"/>
          <w:numId w:val="1022"/>
        </w:numPr>
      </w:pPr>
      <w:r>
        <w:t xml:space="preserve">Análisis legal.</w:t>
      </w:r>
    </w:p>
    <w:p>
      <w:pPr>
        <w:pStyle w:val="Compact"/>
        <w:numPr>
          <w:ilvl w:val="0"/>
          <w:numId w:val="1022"/>
        </w:numPr>
      </w:pPr>
      <w:r>
        <w:t xml:space="preserve">Opinión de cumplimiento/PLD cuando existan alertas.</w:t>
      </w:r>
    </w:p>
    <w:p>
      <w:pPr>
        <w:pStyle w:val="Compact"/>
        <w:numPr>
          <w:ilvl w:val="0"/>
          <w:numId w:val="1022"/>
        </w:numPr>
      </w:pPr>
      <w:r>
        <w:t xml:space="preserve">Condiciones de hacer y no hacer.</w:t>
      </w:r>
    </w:p>
    <w:p>
      <w:pPr>
        <w:pStyle w:val="Compact"/>
        <w:numPr>
          <w:ilvl w:val="0"/>
          <w:numId w:val="1022"/>
        </w:numPr>
      </w:pPr>
      <w:r>
        <w:t xml:space="preserve">Covenants financieros, si aplica.</w:t>
      </w:r>
    </w:p>
    <w:p>
      <w:pPr>
        <w:pStyle w:val="FirstParagraph"/>
      </w:pPr>
      <w:r>
        <w:t xml:space="preserve">La aprobación debe realizarse por instancia con facultades suficientes conforme al monto y riesgo.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2" w:name="vertiente-nivel-alto"/>
    <w:p>
      <w:pPr>
        <w:pStyle w:val="Heading1"/>
      </w:pPr>
      <w:r>
        <w:t xml:space="preserve">6. Vertiente Nivel Alto</w:t>
      </w:r>
    </w:p>
    <w:bookmarkStart w:id="44" w:name="perfil-2"/>
    <w:p>
      <w:pPr>
        <w:pStyle w:val="Heading2"/>
      </w:pPr>
      <w:r>
        <w:t xml:space="preserve">Perfil</w:t>
      </w:r>
    </w:p>
    <w:p>
      <w:pPr>
        <w:pStyle w:val="FirstParagraph"/>
      </w:pPr>
      <w:r>
        <w:t xml:space="preserve">Créditos de monto alto, exposición relevante, estructuras complejas, operaciones sindicadas, garantías relevantes, grupos empresariales o clientes con mayor sensibilidad financiera, legal o reputacional.</w:t>
      </w:r>
    </w:p>
    <w:p>
      <w:pPr>
        <w:pStyle w:val="BodyText"/>
      </w:pPr>
      <w:r>
        <w:t xml:space="preserve">En este nivel, el modelo paramétrico funciona como filtro inicial, pero no debe sustituir el análisis integral de crédito.</w:t>
      </w:r>
    </w:p>
    <w:bookmarkEnd w:id="44"/>
    <w:bookmarkStart w:id="51" w:name="Xe100c87658892a4ca043ea2cc2591c6d2564236"/>
    <w:p>
      <w:pPr>
        <w:pStyle w:val="Heading2"/>
      </w:pPr>
      <w:r>
        <w:t xml:space="preserve">Documentos requeridos después de pre-aprobación</w:t>
      </w:r>
    </w:p>
    <w:bookmarkStart w:id="45" w:name="a.-expediente-corporativo-completo"/>
    <w:p>
      <w:pPr>
        <w:pStyle w:val="Heading3"/>
      </w:pPr>
      <w:r>
        <w:t xml:space="preserve">A. Expediente corporativo completo</w:t>
      </w:r>
    </w:p>
    <w:p>
      <w:pPr>
        <w:pStyle w:val="Compact"/>
        <w:numPr>
          <w:ilvl w:val="0"/>
          <w:numId w:val="1023"/>
        </w:numPr>
      </w:pPr>
      <w:r>
        <w:t xml:space="preserve">Solicitud de crédito firmada.</w:t>
      </w:r>
    </w:p>
    <w:p>
      <w:pPr>
        <w:pStyle w:val="Compact"/>
        <w:numPr>
          <w:ilvl w:val="0"/>
          <w:numId w:val="1023"/>
        </w:numPr>
      </w:pPr>
      <w:r>
        <w:t xml:space="preserve">Cédula de Identificación Fiscal.</w:t>
      </w:r>
    </w:p>
    <w:p>
      <w:pPr>
        <w:pStyle w:val="Compact"/>
        <w:numPr>
          <w:ilvl w:val="0"/>
          <w:numId w:val="1023"/>
        </w:numPr>
      </w:pPr>
      <w:r>
        <w:t xml:space="preserve">Acta constitutiva.</w:t>
      </w:r>
    </w:p>
    <w:p>
      <w:pPr>
        <w:pStyle w:val="Compact"/>
        <w:numPr>
          <w:ilvl w:val="0"/>
          <w:numId w:val="1023"/>
        </w:numPr>
      </w:pPr>
      <w:r>
        <w:t xml:space="preserve">Todas las reformas estatutarias relevantes.</w:t>
      </w:r>
    </w:p>
    <w:p>
      <w:pPr>
        <w:pStyle w:val="Compact"/>
        <w:numPr>
          <w:ilvl w:val="0"/>
          <w:numId w:val="1023"/>
        </w:numPr>
      </w:pPr>
      <w:r>
        <w:t xml:space="preserve">Estatutos vigentes.</w:t>
      </w:r>
    </w:p>
    <w:p>
      <w:pPr>
        <w:pStyle w:val="Compact"/>
        <w:numPr>
          <w:ilvl w:val="0"/>
          <w:numId w:val="1023"/>
        </w:numPr>
      </w:pPr>
      <w:r>
        <w:t xml:space="preserve">Poderes vigentes.</w:t>
      </w:r>
    </w:p>
    <w:p>
      <w:pPr>
        <w:pStyle w:val="Compact"/>
        <w:numPr>
          <w:ilvl w:val="0"/>
          <w:numId w:val="1023"/>
        </w:numPr>
      </w:pPr>
      <w:r>
        <w:t xml:space="preserve">Identificaciones de representantes legales.</w:t>
      </w:r>
    </w:p>
    <w:p>
      <w:pPr>
        <w:pStyle w:val="Compact"/>
        <w:numPr>
          <w:ilvl w:val="0"/>
          <w:numId w:val="1023"/>
        </w:numPr>
      </w:pPr>
      <w:r>
        <w:t xml:space="preserve">Comprobante de domicilio.</w:t>
      </w:r>
    </w:p>
    <w:p>
      <w:pPr>
        <w:pStyle w:val="Compact"/>
        <w:numPr>
          <w:ilvl w:val="0"/>
          <w:numId w:val="1023"/>
        </w:numPr>
      </w:pPr>
      <w:r>
        <w:t xml:space="preserve">Estructura accionaria actual.</w:t>
      </w:r>
    </w:p>
    <w:p>
      <w:pPr>
        <w:pStyle w:val="Compact"/>
        <w:numPr>
          <w:ilvl w:val="0"/>
          <w:numId w:val="1023"/>
        </w:numPr>
      </w:pPr>
      <w:r>
        <w:t xml:space="preserve">Organigrama corporativo.</w:t>
      </w:r>
    </w:p>
    <w:p>
      <w:pPr>
        <w:pStyle w:val="Compact"/>
        <w:numPr>
          <w:ilvl w:val="0"/>
          <w:numId w:val="1023"/>
        </w:numPr>
      </w:pPr>
      <w:r>
        <w:t xml:space="preserve">Identificación de propietarios reales o beneficiarios controladores.</w:t>
      </w:r>
    </w:p>
    <w:p>
      <w:pPr>
        <w:pStyle w:val="Compact"/>
        <w:numPr>
          <w:ilvl w:val="0"/>
          <w:numId w:val="1023"/>
        </w:numPr>
      </w:pPr>
      <w:r>
        <w:t xml:space="preserve">Relación de empresas del grupo.</w:t>
      </w:r>
    </w:p>
    <w:p>
      <w:pPr>
        <w:pStyle w:val="Compact"/>
        <w:numPr>
          <w:ilvl w:val="0"/>
          <w:numId w:val="1023"/>
        </w:numPr>
      </w:pPr>
      <w:r>
        <w:t xml:space="preserve">Identificación de partes relacionadas.</w:t>
      </w:r>
    </w:p>
    <w:p>
      <w:pPr>
        <w:pStyle w:val="Compact"/>
        <w:numPr>
          <w:ilvl w:val="0"/>
          <w:numId w:val="1023"/>
        </w:numPr>
      </w:pPr>
      <w:r>
        <w:t xml:space="preserve">Actas de asamblea o autorizaciones corporativas necesarias para contratar deuda o constituir garantías.</w:t>
      </w:r>
    </w:p>
    <w:p>
      <w:pPr>
        <w:pStyle w:val="Compact"/>
        <w:numPr>
          <w:ilvl w:val="0"/>
          <w:numId w:val="1023"/>
        </w:numPr>
      </w:pPr>
      <w:r>
        <w:t xml:space="preserve">Dictamen jurídico completo.</w:t>
      </w:r>
    </w:p>
    <w:bookmarkEnd w:id="45"/>
    <w:bookmarkStart w:id="46" w:name="b.-información-financiera-completa"/>
    <w:p>
      <w:pPr>
        <w:pStyle w:val="Heading3"/>
      </w:pPr>
      <w:r>
        <w:t xml:space="preserve">B. Información financiera completa</w:t>
      </w:r>
    </w:p>
    <w:p>
      <w:pPr>
        <w:pStyle w:val="Compact"/>
        <w:numPr>
          <w:ilvl w:val="0"/>
          <w:numId w:val="1024"/>
        </w:numPr>
      </w:pPr>
      <w:r>
        <w:t xml:space="preserve">Estados financieros internos de los dos últimos ejercicios.</w:t>
      </w:r>
    </w:p>
    <w:p>
      <w:pPr>
        <w:pStyle w:val="Compact"/>
        <w:numPr>
          <w:ilvl w:val="0"/>
          <w:numId w:val="1024"/>
        </w:numPr>
      </w:pPr>
      <w:r>
        <w:t xml:space="preserve">Estados financieros parciales recientes.</w:t>
      </w:r>
    </w:p>
    <w:p>
      <w:pPr>
        <w:pStyle w:val="Compact"/>
        <w:numPr>
          <w:ilvl w:val="0"/>
          <w:numId w:val="1024"/>
        </w:numPr>
      </w:pPr>
      <w:r>
        <w:t xml:space="preserve">Estados financieros dictaminados, cuando aplique.</w:t>
      </w:r>
    </w:p>
    <w:p>
      <w:pPr>
        <w:pStyle w:val="Compact"/>
        <w:numPr>
          <w:ilvl w:val="0"/>
          <w:numId w:val="1024"/>
        </w:numPr>
      </w:pPr>
      <w:r>
        <w:t xml:space="preserve">Declaraciones anuales de los dos últimos ejercicios.</w:t>
      </w:r>
    </w:p>
    <w:p>
      <w:pPr>
        <w:pStyle w:val="Compact"/>
        <w:numPr>
          <w:ilvl w:val="0"/>
          <w:numId w:val="1024"/>
        </w:numPr>
      </w:pPr>
      <w:r>
        <w:t xml:space="preserve">Estados de cuenta bancarios de 12 a 24 meses.</w:t>
      </w:r>
    </w:p>
    <w:p>
      <w:pPr>
        <w:pStyle w:val="Compact"/>
        <w:numPr>
          <w:ilvl w:val="0"/>
          <w:numId w:val="1024"/>
        </w:numPr>
      </w:pPr>
      <w:r>
        <w:t xml:space="preserve">Flujo de efectivo proyectado por el plazo del crédito.</w:t>
      </w:r>
    </w:p>
    <w:p>
      <w:pPr>
        <w:pStyle w:val="Compact"/>
        <w:numPr>
          <w:ilvl w:val="0"/>
          <w:numId w:val="1024"/>
        </w:numPr>
      </w:pPr>
      <w:r>
        <w:t xml:space="preserve">Modelo financiero con supuestos.</w:t>
      </w:r>
    </w:p>
    <w:p>
      <w:pPr>
        <w:pStyle w:val="Compact"/>
        <w:numPr>
          <w:ilvl w:val="0"/>
          <w:numId w:val="1024"/>
        </w:numPr>
      </w:pPr>
      <w:r>
        <w:t xml:space="preserve">Escenarios base, estrés y adverso.</w:t>
      </w:r>
    </w:p>
    <w:p>
      <w:pPr>
        <w:pStyle w:val="Compact"/>
        <w:numPr>
          <w:ilvl w:val="0"/>
          <w:numId w:val="1024"/>
        </w:numPr>
      </w:pPr>
      <w:r>
        <w:t xml:space="preserve">Detalle de deuda bancaria y bursátil.</w:t>
      </w:r>
    </w:p>
    <w:p>
      <w:pPr>
        <w:pStyle w:val="Compact"/>
        <w:numPr>
          <w:ilvl w:val="0"/>
          <w:numId w:val="1024"/>
        </w:numPr>
      </w:pPr>
      <w:r>
        <w:t xml:space="preserve">Calendario de amortizaciones.</w:t>
      </w:r>
    </w:p>
    <w:p>
      <w:pPr>
        <w:pStyle w:val="Compact"/>
        <w:numPr>
          <w:ilvl w:val="0"/>
          <w:numId w:val="1024"/>
        </w:numPr>
      </w:pPr>
      <w:r>
        <w:t xml:space="preserve">Principales clientes, proveedores y contratos relevantes.</w:t>
      </w:r>
    </w:p>
    <w:p>
      <w:pPr>
        <w:pStyle w:val="Compact"/>
        <w:numPr>
          <w:ilvl w:val="0"/>
          <w:numId w:val="1024"/>
        </w:numPr>
      </w:pPr>
      <w:r>
        <w:t xml:space="preserve">Concentración de ingresos.</w:t>
      </w:r>
    </w:p>
    <w:p>
      <w:pPr>
        <w:pStyle w:val="Compact"/>
        <w:numPr>
          <w:ilvl w:val="0"/>
          <w:numId w:val="1024"/>
        </w:numPr>
      </w:pPr>
      <w:r>
        <w:t xml:space="preserve">Cuentas por cobrar y por pagar.</w:t>
      </w:r>
    </w:p>
    <w:p>
      <w:pPr>
        <w:pStyle w:val="Compact"/>
        <w:numPr>
          <w:ilvl w:val="0"/>
          <w:numId w:val="1024"/>
        </w:numPr>
      </w:pPr>
      <w:r>
        <w:t xml:space="preserve">Inventarios, si son relevantes.</w:t>
      </w:r>
    </w:p>
    <w:p>
      <w:pPr>
        <w:pStyle w:val="Compact"/>
        <w:numPr>
          <w:ilvl w:val="0"/>
          <w:numId w:val="1024"/>
        </w:numPr>
      </w:pPr>
      <w:r>
        <w:t xml:space="preserve">Destino detallado del crédito.</w:t>
      </w:r>
    </w:p>
    <w:p>
      <w:pPr>
        <w:pStyle w:val="Compact"/>
        <w:numPr>
          <w:ilvl w:val="0"/>
          <w:numId w:val="1024"/>
        </w:numPr>
      </w:pPr>
      <w:r>
        <w:t xml:space="preserve">Fuente primaria y secundaria de pago.</w:t>
      </w:r>
    </w:p>
    <w:bookmarkEnd w:id="46"/>
    <w:bookmarkStart w:id="47" w:name="X40822b2bca3a8bcc60319193c7da329a2469058"/>
    <w:p>
      <w:pPr>
        <w:pStyle w:val="Heading3"/>
      </w:pPr>
      <w:r>
        <w:t xml:space="preserve">C. Información crediticia, legal y reputacional</w:t>
      </w:r>
    </w:p>
    <w:p>
      <w:pPr>
        <w:pStyle w:val="Compact"/>
        <w:numPr>
          <w:ilvl w:val="0"/>
          <w:numId w:val="1025"/>
        </w:numPr>
      </w:pPr>
      <w:r>
        <w:t xml:space="preserve">Buró de Crédito de la empresa.</w:t>
      </w:r>
    </w:p>
    <w:p>
      <w:pPr>
        <w:pStyle w:val="Compact"/>
        <w:numPr>
          <w:ilvl w:val="0"/>
          <w:numId w:val="1025"/>
        </w:numPr>
      </w:pPr>
      <w:r>
        <w:t xml:space="preserve">Buró de Crédito de accionistas relevantes, obligados solidarios, avalistas o garantes.</w:t>
      </w:r>
    </w:p>
    <w:p>
      <w:pPr>
        <w:pStyle w:val="Compact"/>
        <w:numPr>
          <w:ilvl w:val="0"/>
          <w:numId w:val="1025"/>
        </w:numPr>
      </w:pPr>
      <w:r>
        <w:t xml:space="preserve">Buró legal completo.</w:t>
      </w:r>
    </w:p>
    <w:p>
      <w:pPr>
        <w:pStyle w:val="Compact"/>
        <w:numPr>
          <w:ilvl w:val="0"/>
          <w:numId w:val="1025"/>
        </w:numPr>
      </w:pPr>
      <w:r>
        <w:t xml:space="preserve">Revisión de litigios materiales.</w:t>
      </w:r>
    </w:p>
    <w:p>
      <w:pPr>
        <w:pStyle w:val="Compact"/>
        <w:numPr>
          <w:ilvl w:val="0"/>
          <w:numId w:val="1025"/>
        </w:numPr>
      </w:pPr>
      <w:r>
        <w:t xml:space="preserve">Revisión de concursos mercantiles o insolvencia.</w:t>
      </w:r>
    </w:p>
    <w:p>
      <w:pPr>
        <w:pStyle w:val="Compact"/>
        <w:numPr>
          <w:ilvl w:val="0"/>
          <w:numId w:val="1025"/>
        </w:numPr>
      </w:pPr>
      <w:r>
        <w:t xml:space="preserve">Revisión de embargos, gravámenes o contingencias fiscales.</w:t>
      </w:r>
    </w:p>
    <w:p>
      <w:pPr>
        <w:pStyle w:val="Compact"/>
        <w:numPr>
          <w:ilvl w:val="0"/>
          <w:numId w:val="1025"/>
        </w:numPr>
      </w:pPr>
      <w:r>
        <w:t xml:space="preserve">Revisión de listas restrictivas, PEP, sanciones y medios adversos.</w:t>
      </w:r>
    </w:p>
    <w:p>
      <w:pPr>
        <w:pStyle w:val="Compact"/>
        <w:numPr>
          <w:ilvl w:val="0"/>
          <w:numId w:val="1025"/>
        </w:numPr>
      </w:pPr>
      <w:r>
        <w:t xml:space="preserve">Opinión de cumplimiento PLD.</w:t>
      </w:r>
    </w:p>
    <w:p>
      <w:pPr>
        <w:pStyle w:val="Compact"/>
        <w:numPr>
          <w:ilvl w:val="0"/>
          <w:numId w:val="1025"/>
        </w:numPr>
      </w:pPr>
      <w:r>
        <w:t xml:space="preserve">Opinión de jurídico.</w:t>
      </w:r>
    </w:p>
    <w:p>
      <w:pPr>
        <w:pStyle w:val="Compact"/>
        <w:numPr>
          <w:ilvl w:val="0"/>
          <w:numId w:val="1025"/>
        </w:numPr>
      </w:pPr>
      <w:r>
        <w:t xml:space="preserve">Opinión de riesgos.</w:t>
      </w:r>
    </w:p>
    <w:p>
      <w:pPr>
        <w:pStyle w:val="Compact"/>
        <w:numPr>
          <w:ilvl w:val="0"/>
          <w:numId w:val="1025"/>
        </w:numPr>
      </w:pPr>
      <w:r>
        <w:t xml:space="preserve">Opinión de garantías, si aplica.</w:t>
      </w:r>
    </w:p>
    <w:bookmarkEnd w:id="47"/>
    <w:bookmarkStart w:id="48" w:name="X2a929e1a266a885bad775a595689d498f3a0049"/>
    <w:p>
      <w:pPr>
        <w:pStyle w:val="Heading3"/>
      </w:pPr>
      <w:r>
        <w:t xml:space="preserve">D. Grupo empresarial y concentración de riesgos</w:t>
      </w:r>
    </w:p>
    <w:p>
      <w:pPr>
        <w:pStyle w:val="FirstParagraph"/>
      </w:pPr>
      <w:r>
        <w:t xml:space="preserve">Cuando aplique, debe integrarse:</w:t>
      </w:r>
    </w:p>
    <w:p>
      <w:pPr>
        <w:pStyle w:val="Compact"/>
        <w:numPr>
          <w:ilvl w:val="0"/>
          <w:numId w:val="1026"/>
        </w:numPr>
      </w:pPr>
      <w:r>
        <w:t xml:space="preserve">Identificación del grupo empresarial o consorcio.</w:t>
      </w:r>
    </w:p>
    <w:p>
      <w:pPr>
        <w:pStyle w:val="Compact"/>
        <w:numPr>
          <w:ilvl w:val="0"/>
          <w:numId w:val="1026"/>
        </w:numPr>
      </w:pPr>
      <w:r>
        <w:t xml:space="preserve">Relación de empresas vinculadas.</w:t>
      </w:r>
    </w:p>
    <w:p>
      <w:pPr>
        <w:pStyle w:val="Compact"/>
        <w:numPr>
          <w:ilvl w:val="0"/>
          <w:numId w:val="1026"/>
        </w:numPr>
      </w:pPr>
      <w:r>
        <w:t xml:space="preserve">Participación accionaria directa e indirecta.</w:t>
      </w:r>
    </w:p>
    <w:p>
      <w:pPr>
        <w:pStyle w:val="Compact"/>
        <w:numPr>
          <w:ilvl w:val="0"/>
          <w:numId w:val="1026"/>
        </w:numPr>
      </w:pPr>
      <w:r>
        <w:t xml:space="preserve">Exposición total del grupo con la institución.</w:t>
      </w:r>
    </w:p>
    <w:p>
      <w:pPr>
        <w:pStyle w:val="Compact"/>
        <w:numPr>
          <w:ilvl w:val="0"/>
          <w:numId w:val="1026"/>
        </w:numPr>
      </w:pPr>
      <w:r>
        <w:t xml:space="preserve">Exposición indirecta por avales, obligados solidarios o garantías cruzadas.</w:t>
      </w:r>
    </w:p>
    <w:p>
      <w:pPr>
        <w:pStyle w:val="Compact"/>
        <w:numPr>
          <w:ilvl w:val="0"/>
          <w:numId w:val="1026"/>
        </w:numPr>
      </w:pPr>
      <w:r>
        <w:t xml:space="preserve">Revisión de límites internos y regulatorios.</w:t>
      </w:r>
    </w:p>
    <w:p>
      <w:pPr>
        <w:pStyle w:val="Compact"/>
        <w:numPr>
          <w:ilvl w:val="0"/>
          <w:numId w:val="1026"/>
        </w:numPr>
      </w:pPr>
      <w:r>
        <w:t xml:space="preserve">Identificación de partes relacionadas.</w:t>
      </w:r>
    </w:p>
    <w:p>
      <w:pPr>
        <w:pStyle w:val="Compact"/>
        <w:numPr>
          <w:ilvl w:val="0"/>
          <w:numId w:val="1026"/>
        </w:numPr>
      </w:pPr>
      <w:r>
        <w:t xml:space="preserve">Análisis de dependencia entre empresas del grupo.</w:t>
      </w:r>
    </w:p>
    <w:bookmarkEnd w:id="48"/>
    <w:bookmarkStart w:id="49" w:name="e.-garantías"/>
    <w:p>
      <w:pPr>
        <w:pStyle w:val="Heading3"/>
      </w:pPr>
      <w:r>
        <w:t xml:space="preserve">E. Garantías</w:t>
      </w:r>
    </w:p>
    <w:p>
      <w:pPr>
        <w:pStyle w:val="FirstParagraph"/>
      </w:pPr>
      <w:r>
        <w:t xml:space="preserve">Para créditos de nivel alto, las garantías deben revisarse de forma robusta:</w:t>
      </w:r>
    </w:p>
    <w:p>
      <w:pPr>
        <w:pStyle w:val="Compact"/>
        <w:numPr>
          <w:ilvl w:val="0"/>
          <w:numId w:val="1027"/>
        </w:numPr>
      </w:pPr>
      <w:r>
        <w:t xml:space="preserve">Avalúos actualizados.</w:t>
      </w:r>
    </w:p>
    <w:p>
      <w:pPr>
        <w:pStyle w:val="Compact"/>
        <w:numPr>
          <w:ilvl w:val="0"/>
          <w:numId w:val="1027"/>
        </w:numPr>
      </w:pPr>
      <w:r>
        <w:t xml:space="preserve">Certificados de libertad de gravamen.</w:t>
      </w:r>
    </w:p>
    <w:p>
      <w:pPr>
        <w:pStyle w:val="Compact"/>
        <w:numPr>
          <w:ilvl w:val="0"/>
          <w:numId w:val="1027"/>
        </w:numPr>
      </w:pPr>
      <w:r>
        <w:t xml:space="preserve">Verificación de propiedad.</w:t>
      </w:r>
    </w:p>
    <w:p>
      <w:pPr>
        <w:pStyle w:val="Compact"/>
        <w:numPr>
          <w:ilvl w:val="0"/>
          <w:numId w:val="1027"/>
        </w:numPr>
      </w:pPr>
      <w:r>
        <w:t xml:space="preserve">Verificación de inscripción.</w:t>
      </w:r>
    </w:p>
    <w:p>
      <w:pPr>
        <w:pStyle w:val="Compact"/>
        <w:numPr>
          <w:ilvl w:val="0"/>
          <w:numId w:val="1027"/>
        </w:numPr>
      </w:pPr>
      <w:r>
        <w:t xml:space="preserve">Proyecto de garantía hipotecaria, prendaria, fiduciaria o líquida.</w:t>
      </w:r>
    </w:p>
    <w:p>
      <w:pPr>
        <w:pStyle w:val="Compact"/>
        <w:numPr>
          <w:ilvl w:val="0"/>
          <w:numId w:val="1027"/>
        </w:numPr>
      </w:pPr>
      <w:r>
        <w:t xml:space="preserve">Validación de prelación.</w:t>
      </w:r>
    </w:p>
    <w:p>
      <w:pPr>
        <w:pStyle w:val="Compact"/>
        <w:numPr>
          <w:ilvl w:val="0"/>
          <w:numId w:val="1027"/>
        </w:numPr>
      </w:pPr>
      <w:r>
        <w:t xml:space="preserve">Pólizas de seguro endosadas a favor de la institución.</w:t>
      </w:r>
    </w:p>
    <w:p>
      <w:pPr>
        <w:pStyle w:val="Compact"/>
        <w:numPr>
          <w:ilvl w:val="0"/>
          <w:numId w:val="1027"/>
        </w:numPr>
      </w:pPr>
      <w:r>
        <w:t xml:space="preserve">Visita ocular.</w:t>
      </w:r>
    </w:p>
    <w:p>
      <w:pPr>
        <w:pStyle w:val="Compact"/>
        <w:numPr>
          <w:ilvl w:val="0"/>
          <w:numId w:val="1027"/>
        </w:numPr>
      </w:pPr>
      <w:r>
        <w:t xml:space="preserve">Custodia documental.</w:t>
      </w:r>
    </w:p>
    <w:p>
      <w:pPr>
        <w:pStyle w:val="Compact"/>
        <w:numPr>
          <w:ilvl w:val="0"/>
          <w:numId w:val="1027"/>
        </w:numPr>
      </w:pPr>
      <w:r>
        <w:t xml:space="preserve">Opinión legal sobre ejecutabilidad.</w:t>
      </w:r>
    </w:p>
    <w:p>
      <w:pPr>
        <w:pStyle w:val="Compact"/>
        <w:numPr>
          <w:ilvl w:val="0"/>
          <w:numId w:val="1027"/>
        </w:numPr>
      </w:pPr>
      <w:r>
        <w:t xml:space="preserve">Margen de cobertura o loan-to-value.</w:t>
      </w:r>
    </w:p>
    <w:p>
      <w:pPr>
        <w:pStyle w:val="Compact"/>
        <w:numPr>
          <w:ilvl w:val="0"/>
          <w:numId w:val="1027"/>
        </w:numPr>
      </w:pPr>
      <w:r>
        <w:t xml:space="preserve">Condiciones para sustitución o mantenimiento de garantías.</w:t>
      </w:r>
    </w:p>
    <w:bookmarkEnd w:id="49"/>
    <w:bookmarkStart w:id="50" w:name="f.-aprobación"/>
    <w:p>
      <w:pPr>
        <w:pStyle w:val="Heading3"/>
      </w:pPr>
      <w:r>
        <w:t xml:space="preserve">F. Aprobación</w:t>
      </w:r>
    </w:p>
    <w:p>
      <w:pPr>
        <w:pStyle w:val="FirstParagraph"/>
      </w:pPr>
      <w:r>
        <w:t xml:space="preserve">Debe presentarse a comité de crédito o instancia equivalente con facultades suficientes. El expediente debe incluir:</w:t>
      </w:r>
    </w:p>
    <w:p>
      <w:pPr>
        <w:pStyle w:val="Compact"/>
        <w:numPr>
          <w:ilvl w:val="0"/>
          <w:numId w:val="1028"/>
        </w:numPr>
      </w:pPr>
      <w:r>
        <w:t xml:space="preserve">Resumen ejecutivo.</w:t>
      </w:r>
    </w:p>
    <w:p>
      <w:pPr>
        <w:pStyle w:val="Compact"/>
        <w:numPr>
          <w:ilvl w:val="0"/>
          <w:numId w:val="1028"/>
        </w:numPr>
      </w:pPr>
      <w:r>
        <w:t xml:space="preserve">Resultado del filtro paramétrico.</w:t>
      </w:r>
    </w:p>
    <w:p>
      <w:pPr>
        <w:pStyle w:val="Compact"/>
        <w:numPr>
          <w:ilvl w:val="0"/>
          <w:numId w:val="1028"/>
        </w:numPr>
      </w:pPr>
      <w:r>
        <w:t xml:space="preserve">Análisis financiero completo.</w:t>
      </w:r>
    </w:p>
    <w:p>
      <w:pPr>
        <w:pStyle w:val="Compact"/>
        <w:numPr>
          <w:ilvl w:val="0"/>
          <w:numId w:val="1028"/>
        </w:numPr>
      </w:pPr>
      <w:r>
        <w:t xml:space="preserve">Análisis sectorial.</w:t>
      </w:r>
    </w:p>
    <w:p>
      <w:pPr>
        <w:pStyle w:val="Compact"/>
        <w:numPr>
          <w:ilvl w:val="0"/>
          <w:numId w:val="1028"/>
        </w:numPr>
      </w:pPr>
      <w:r>
        <w:t xml:space="preserve">Análisis de grupo económico.</w:t>
      </w:r>
    </w:p>
    <w:p>
      <w:pPr>
        <w:pStyle w:val="Compact"/>
        <w:numPr>
          <w:ilvl w:val="0"/>
          <w:numId w:val="1028"/>
        </w:numPr>
      </w:pPr>
      <w:r>
        <w:t xml:space="preserve">Análisis de capacidad de pago.</w:t>
      </w:r>
    </w:p>
    <w:p>
      <w:pPr>
        <w:pStyle w:val="Compact"/>
        <w:numPr>
          <w:ilvl w:val="0"/>
          <w:numId w:val="1028"/>
        </w:numPr>
      </w:pPr>
      <w:r>
        <w:t xml:space="preserve">Análisis de garantías.</w:t>
      </w:r>
    </w:p>
    <w:p>
      <w:pPr>
        <w:pStyle w:val="Compact"/>
        <w:numPr>
          <w:ilvl w:val="0"/>
          <w:numId w:val="1028"/>
        </w:numPr>
      </w:pPr>
      <w:r>
        <w:t xml:space="preserve">Dictamen jurídico.</w:t>
      </w:r>
    </w:p>
    <w:p>
      <w:pPr>
        <w:pStyle w:val="Compact"/>
        <w:numPr>
          <w:ilvl w:val="0"/>
          <w:numId w:val="1028"/>
        </w:numPr>
      </w:pPr>
      <w:r>
        <w:t xml:space="preserve">Opinión de cumplimiento.</w:t>
      </w:r>
    </w:p>
    <w:p>
      <w:pPr>
        <w:pStyle w:val="Compact"/>
        <w:numPr>
          <w:ilvl w:val="0"/>
          <w:numId w:val="1028"/>
        </w:numPr>
      </w:pPr>
      <w:r>
        <w:t xml:space="preserve">Opinión de riesgos.</w:t>
      </w:r>
    </w:p>
    <w:p>
      <w:pPr>
        <w:pStyle w:val="Compact"/>
        <w:numPr>
          <w:ilvl w:val="0"/>
          <w:numId w:val="1028"/>
        </w:numPr>
      </w:pPr>
      <w:r>
        <w:t xml:space="preserve">Condiciones precedentes a la disposición.</w:t>
      </w:r>
    </w:p>
    <w:p>
      <w:pPr>
        <w:pStyle w:val="Compact"/>
        <w:numPr>
          <w:ilvl w:val="0"/>
          <w:numId w:val="1028"/>
        </w:numPr>
      </w:pPr>
      <w:r>
        <w:t xml:space="preserve">Covenants financieros y operativos.</w:t>
      </w:r>
    </w:p>
    <w:p>
      <w:pPr>
        <w:pStyle w:val="Compact"/>
        <w:numPr>
          <w:ilvl w:val="0"/>
          <w:numId w:val="1028"/>
        </w:numPr>
      </w:pPr>
      <w:r>
        <w:t xml:space="preserve">Eventos de incumplimiento.</w:t>
      </w:r>
    </w:p>
    <w:p>
      <w:pPr>
        <w:pStyle w:val="Compact"/>
        <w:numPr>
          <w:ilvl w:val="0"/>
          <w:numId w:val="1028"/>
        </w:numPr>
      </w:pPr>
      <w:r>
        <w:t xml:space="preserve">Requerimientos de información periódica.</w:t>
      </w:r>
    </w:p>
    <w:p>
      <w:pPr>
        <w:pStyle w:val="Compact"/>
        <w:numPr>
          <w:ilvl w:val="0"/>
          <w:numId w:val="1028"/>
        </w:numPr>
      </w:pPr>
      <w:r>
        <w:t xml:space="preserve">Plan de seguimiento.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7" w:name="puntos-de-control-del-flujo"/>
    <w:p>
      <w:pPr>
        <w:pStyle w:val="Heading1"/>
      </w:pPr>
      <w:r>
        <w:t xml:space="preserve">7. Puntos de control del flujo</w:t>
      </w:r>
    </w:p>
    <w:bookmarkStart w:id="53" w:name="X69b16b462578ecbe99dfe45128d10c498564e79"/>
    <w:p>
      <w:pPr>
        <w:pStyle w:val="Heading2"/>
      </w:pPr>
      <w:r>
        <w:t xml:space="preserve">Control 1. No solicitar expediente completo antes del pre-filtro</w:t>
      </w:r>
    </w:p>
    <w:p>
      <w:pPr>
        <w:pStyle w:val="FirstParagraph"/>
      </w:pPr>
      <w:r>
        <w:t xml:space="preserve">La documentación legal completa, dictámenes, avalúos y garantías solo deben solicitarse cuando el modelo paramétrico indique que la empresa tiene posibilidad razonable de aprobación.</w:t>
      </w:r>
    </w:p>
    <w:bookmarkEnd w:id="53"/>
    <w:bookmarkStart w:id="54" w:name="X35c5ec39e99306af820a39652a1a94baa0f7ab9"/>
    <w:p>
      <w:pPr>
        <w:pStyle w:val="Heading2"/>
      </w:pPr>
      <w:r>
        <w:t xml:space="preserve">Control 2. No emitir aprobación vinculante sin expediente mínimo</w:t>
      </w:r>
    </w:p>
    <w:p>
      <w:pPr>
        <w:pStyle w:val="FirstParagraph"/>
      </w:pPr>
      <w:r>
        <w:t xml:space="preserve">La pre-aprobación paramétrica no debe entenderse como aprobación final. La aprobación formal queda sujeta a validación documental, legal, fiscal, crediticia, cumplimiento y garantías.</w:t>
      </w:r>
    </w:p>
    <w:bookmarkEnd w:id="54"/>
    <w:bookmarkStart w:id="55" w:name="control-3.-escalamiento-automático"/>
    <w:p>
      <w:pPr>
        <w:pStyle w:val="Heading2"/>
      </w:pPr>
      <w:r>
        <w:t xml:space="preserve">Control 3. Escalamiento automático</w:t>
      </w:r>
    </w:p>
    <w:p>
      <w:pPr>
        <w:pStyle w:val="FirstParagraph"/>
      </w:pPr>
      <w:r>
        <w:t xml:space="preserve">Una solicitud debe escalar de nivel cuando ocurra cualquiera de los siguientes eventos:</w:t>
      </w:r>
    </w:p>
    <w:p>
      <w:pPr>
        <w:pStyle w:val="Compact"/>
        <w:numPr>
          <w:ilvl w:val="0"/>
          <w:numId w:val="1029"/>
        </w:numPr>
      </w:pPr>
      <w:r>
        <w:t xml:space="preserve">El monto solicitado supera el umbral del nivel.</w:t>
      </w:r>
    </w:p>
    <w:p>
      <w:pPr>
        <w:pStyle w:val="Compact"/>
        <w:numPr>
          <w:ilvl w:val="0"/>
          <w:numId w:val="1029"/>
        </w:numPr>
      </w:pPr>
      <w:r>
        <w:t xml:space="preserve">El cliente pertenece a un grupo empresarial relevante.</w:t>
      </w:r>
    </w:p>
    <w:p>
      <w:pPr>
        <w:pStyle w:val="Compact"/>
        <w:numPr>
          <w:ilvl w:val="0"/>
          <w:numId w:val="1029"/>
        </w:numPr>
      </w:pPr>
      <w:r>
        <w:t xml:space="preserve">Existen alertas en buró de crédito.</w:t>
      </w:r>
    </w:p>
    <w:p>
      <w:pPr>
        <w:pStyle w:val="Compact"/>
        <w:numPr>
          <w:ilvl w:val="0"/>
          <w:numId w:val="1029"/>
        </w:numPr>
      </w:pPr>
      <w:r>
        <w:t xml:space="preserve">Existen alertas en buró legal.</w:t>
      </w:r>
    </w:p>
    <w:p>
      <w:pPr>
        <w:pStyle w:val="Compact"/>
        <w:numPr>
          <w:ilvl w:val="0"/>
          <w:numId w:val="1029"/>
        </w:numPr>
      </w:pPr>
      <w:r>
        <w:t xml:space="preserve">La estructura accionaria es compleja.</w:t>
      </w:r>
    </w:p>
    <w:p>
      <w:pPr>
        <w:pStyle w:val="Compact"/>
        <w:numPr>
          <w:ilvl w:val="0"/>
          <w:numId w:val="1029"/>
        </w:numPr>
      </w:pPr>
      <w:r>
        <w:t xml:space="preserve">Hay beneficiarios extranjeros.</w:t>
      </w:r>
    </w:p>
    <w:p>
      <w:pPr>
        <w:pStyle w:val="Compact"/>
        <w:numPr>
          <w:ilvl w:val="0"/>
          <w:numId w:val="1029"/>
        </w:numPr>
      </w:pPr>
      <w:r>
        <w:t xml:space="preserve">Se detecta PEP, sanciones o medios adversos.</w:t>
      </w:r>
    </w:p>
    <w:p>
      <w:pPr>
        <w:pStyle w:val="Compact"/>
        <w:numPr>
          <w:ilvl w:val="0"/>
          <w:numId w:val="1029"/>
        </w:numPr>
      </w:pPr>
      <w:r>
        <w:t xml:space="preserve">La garantía es compleja o de difícil ejecución.</w:t>
      </w:r>
    </w:p>
    <w:p>
      <w:pPr>
        <w:pStyle w:val="Compact"/>
        <w:numPr>
          <w:ilvl w:val="0"/>
          <w:numId w:val="1029"/>
        </w:numPr>
      </w:pPr>
      <w:r>
        <w:t xml:space="preserve">El crédito depende de flujos proyectados no históricos.</w:t>
      </w:r>
    </w:p>
    <w:p>
      <w:pPr>
        <w:pStyle w:val="Compact"/>
        <w:numPr>
          <w:ilvl w:val="0"/>
          <w:numId w:val="1029"/>
        </w:numPr>
      </w:pPr>
      <w:r>
        <w:t xml:space="preserve">Hay concentración significativa de clientes o proveedores.</w:t>
      </w:r>
    </w:p>
    <w:bookmarkEnd w:id="55"/>
    <w:bookmarkStart w:id="56" w:name="X6727a378e61eaea1a34f2ec78f6386264c0c58e"/>
    <w:p>
      <w:pPr>
        <w:pStyle w:val="Heading2"/>
      </w:pPr>
      <w:r>
        <w:t xml:space="preserve">Control 4. Condiciones previas a disposición</w:t>
      </w:r>
    </w:p>
    <w:p>
      <w:pPr>
        <w:pStyle w:val="FirstParagraph"/>
      </w:pPr>
      <w:r>
        <w:t xml:space="preserve">Antes de disponer el crédito deben cumplirse:</w:t>
      </w:r>
    </w:p>
    <w:p>
      <w:pPr>
        <w:pStyle w:val="Compact"/>
        <w:numPr>
          <w:ilvl w:val="0"/>
          <w:numId w:val="1030"/>
        </w:numPr>
      </w:pPr>
      <w:r>
        <w:t xml:space="preserve">Contrato firmado.</w:t>
      </w:r>
    </w:p>
    <w:p>
      <w:pPr>
        <w:pStyle w:val="Compact"/>
        <w:numPr>
          <w:ilvl w:val="0"/>
          <w:numId w:val="1030"/>
        </w:numPr>
      </w:pPr>
      <w:r>
        <w:t xml:space="preserve">Pagarés o títulos de crédito firmados, si aplica.</w:t>
      </w:r>
    </w:p>
    <w:p>
      <w:pPr>
        <w:pStyle w:val="Compact"/>
        <w:numPr>
          <w:ilvl w:val="0"/>
          <w:numId w:val="1030"/>
        </w:numPr>
      </w:pPr>
      <w:r>
        <w:t xml:space="preserve">Garantías formalizadas.</w:t>
      </w:r>
    </w:p>
    <w:p>
      <w:pPr>
        <w:pStyle w:val="Compact"/>
        <w:numPr>
          <w:ilvl w:val="0"/>
          <w:numId w:val="1030"/>
        </w:numPr>
      </w:pPr>
      <w:r>
        <w:t xml:space="preserve">Inscripciones registrales, si aplican.</w:t>
      </w:r>
    </w:p>
    <w:p>
      <w:pPr>
        <w:pStyle w:val="Compact"/>
        <w:numPr>
          <w:ilvl w:val="0"/>
          <w:numId w:val="1030"/>
        </w:numPr>
      </w:pPr>
      <w:r>
        <w:t xml:space="preserve">Seguros endosados, si aplican.</w:t>
      </w:r>
    </w:p>
    <w:p>
      <w:pPr>
        <w:pStyle w:val="Compact"/>
        <w:numPr>
          <w:ilvl w:val="0"/>
          <w:numId w:val="1030"/>
        </w:numPr>
      </w:pPr>
      <w:r>
        <w:t xml:space="preserve">Expediente de identificación completo.</w:t>
      </w:r>
    </w:p>
    <w:p>
      <w:pPr>
        <w:pStyle w:val="Compact"/>
        <w:numPr>
          <w:ilvl w:val="0"/>
          <w:numId w:val="1030"/>
        </w:numPr>
      </w:pPr>
      <w:r>
        <w:t xml:space="preserve">Buró de crédito vigente.</w:t>
      </w:r>
    </w:p>
    <w:p>
      <w:pPr>
        <w:pStyle w:val="Compact"/>
        <w:numPr>
          <w:ilvl w:val="0"/>
          <w:numId w:val="1030"/>
        </w:numPr>
      </w:pPr>
      <w:r>
        <w:t xml:space="preserve">Dictamen jurídico liberado.</w:t>
      </w:r>
    </w:p>
    <w:p>
      <w:pPr>
        <w:pStyle w:val="Compact"/>
        <w:numPr>
          <w:ilvl w:val="0"/>
          <w:numId w:val="1030"/>
        </w:numPr>
      </w:pPr>
      <w:r>
        <w:t xml:space="preserve">Cumplimiento PLD liberado.</w:t>
      </w:r>
    </w:p>
    <w:p>
      <w:pPr>
        <w:pStyle w:val="Compact"/>
        <w:numPr>
          <w:ilvl w:val="0"/>
          <w:numId w:val="1030"/>
        </w:numPr>
      </w:pPr>
      <w:r>
        <w:t xml:space="preserve">Autorización de crédito vigente.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matriz-documental-resumida"/>
    <w:p>
      <w:pPr>
        <w:pStyle w:val="Heading1"/>
      </w:pPr>
      <w:r>
        <w:t xml:space="preserve">8. Matriz documental resumida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721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 / Validación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Pre-filtro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Solicitud preliminar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Monto, plazo y destino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Estados financieros recientes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Estados financieros de 2 ejercicios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Opcional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Estados financieros dictaminados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 aplica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 aplica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Estados de cuenta bancarios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6-12 meses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meses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12-24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Flujo proyectado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Básico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Opcional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Sí, con escenarios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Buró de Crédito empresa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Buró de accionistas/obligados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 aplica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 aplica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Sí, si participan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 / Constancia fiscal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Acta constitutiva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Estatutos vigentes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Poderes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Comprobante de domicilio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Estructura accionaria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Básica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Detallada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Beneficiario controlador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Básico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de sociedad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Básica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Buró legal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Básico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Dictamen jurídico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Simplificado o según monto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Sí,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Análisis de grupo empresarial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 aplica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Avalúo de garantías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 aplica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Sí, si hay garantía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Libertad de gravamen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 aplica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Visita ocular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 aplica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 aplica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Sí, si hay garantía física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Seguro de garantía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 aplica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 aplica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Sí, si corresponde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Aprobación por comité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Según política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Sí, según monto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resultado-esperado"/>
    <w:p>
      <w:pPr>
        <w:pStyle w:val="Heading1"/>
      </w:pPr>
      <w:r>
        <w:t xml:space="preserve">9. Resultado esperado</w:t>
      </w:r>
    </w:p>
    <w:p>
      <w:pPr>
        <w:pStyle w:val="FirstParagraph"/>
      </w:pPr>
      <w:r>
        <w:t xml:space="preserve">El flujo permite que el banco o entidad financiera:</w:t>
      </w:r>
    </w:p>
    <w:p>
      <w:pPr>
        <w:pStyle w:val="Compact"/>
        <w:numPr>
          <w:ilvl w:val="0"/>
          <w:numId w:val="1031"/>
        </w:numPr>
      </w:pPr>
      <w:r>
        <w:t xml:space="preserve">Evalúe rápidamente la viabilidad del cliente.</w:t>
      </w:r>
    </w:p>
    <w:p>
      <w:pPr>
        <w:pStyle w:val="Compact"/>
        <w:numPr>
          <w:ilvl w:val="0"/>
          <w:numId w:val="1031"/>
        </w:numPr>
      </w:pPr>
      <w:r>
        <w:t xml:space="preserve">Reduzca tiempos de originación.</w:t>
      </w:r>
    </w:p>
    <w:p>
      <w:pPr>
        <w:pStyle w:val="Compact"/>
        <w:numPr>
          <w:ilvl w:val="0"/>
          <w:numId w:val="1031"/>
        </w:numPr>
      </w:pPr>
      <w:r>
        <w:t xml:space="preserve">Evite solicitar documentos complejos a clientes no viables.</w:t>
      </w:r>
    </w:p>
    <w:p>
      <w:pPr>
        <w:pStyle w:val="Compact"/>
        <w:numPr>
          <w:ilvl w:val="0"/>
          <w:numId w:val="1031"/>
        </w:numPr>
      </w:pPr>
      <w:r>
        <w:t xml:space="preserve">Escale la documentación según monto y riesgo.</w:t>
      </w:r>
    </w:p>
    <w:p>
      <w:pPr>
        <w:pStyle w:val="Compact"/>
        <w:numPr>
          <w:ilvl w:val="0"/>
          <w:numId w:val="1031"/>
        </w:numPr>
      </w:pPr>
      <w:r>
        <w:t xml:space="preserve">Mantenga consistencia con políticas de crédito, debida diligencia, PLD, análisis jurídico y control de garantías.</w:t>
      </w:r>
    </w:p>
    <w:p>
      <w:pPr>
        <w:pStyle w:val="Compact"/>
        <w:numPr>
          <w:ilvl w:val="0"/>
          <w:numId w:val="1031"/>
        </w:numPr>
      </w:pPr>
      <w:r>
        <w:t xml:space="preserve">Genere expedientes defendibles ante auditoría, riesgos, jurídico, cumplimiento y supervisión.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2026-06-12T13:55:50Z</dcterms:created>
  <dcterms:modified xsi:type="dcterms:W3CDTF">2026-06-12T13:55:50Z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