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Consolidado AS-IS – Estrategia de Crédito Mercado Estratégico</w:t>
      </w:r>
    </w:p>
    <w:p>
      <w:pPr>
        <w:pStyle w:val="Heading2"/>
      </w:pPr>
      <w:r>
        <w:t>1. Introducción</w:t>
      </w:r>
    </w:p>
    <w:p>
      <w:r>
        <w:t>El presente documento consolida la información vigente relacionada con los criterios, procesos, metodologías, instancias de autorización y segmentación de mercado utilizados actualmente por Banco Base para la admisión, análisis y autorización de crédito, con énfasis en el Mercado Estratégico. Este consolidado constituye el punto de partida para la reconfiguración del modelo de crédito bajo una visión FAST (Flexible, Analítica, Simple y Transparente).</w:t>
      </w:r>
    </w:p>
    <w:p>
      <w:pPr>
        <w:pStyle w:val="Heading2"/>
      </w:pPr>
      <w:r>
        <w:t>2. Gobierno de Crédito</w:t>
      </w:r>
    </w:p>
    <w:p>
      <w:r>
        <w:t>El gobierno de crédito se estructura a través de dos instancias principales: el Comité Directivo de Crédito (CDC) y el Comité Directivo de Crédito Ampliado (CDCA). El CDCA representa la máxima autoridad en la toma de riesgos de crédito, autorizando operaciones superiores a 300 millones de pesos, mientras que el CDC resuelve operaciones de menor monto. Ambos comités operan bajo esquemas de quórum definidos y cubren productos bancarios y cambiarios.</w:t>
      </w:r>
    </w:p>
    <w:p>
      <w:pPr>
        <w:pStyle w:val="Heading2"/>
      </w:pPr>
      <w:r>
        <w:t>3. Facultades Mancomunadas</w:t>
      </w:r>
    </w:p>
    <w:p>
      <w:r>
        <w:t>Existen facultades mancomunadas para la autorización de operaciones dentro de límites establecidos por monto, mercado y tipo de producto. Estas facultades varían entre Mercado Estratégico y No Estratégico, así como por tipo de modelo analítico aplicado, permitiendo autorizaciones hasta ciertos umbrales sin necesidad de escalar a comité.</w:t>
      </w:r>
    </w:p>
    <w:p>
      <w:pPr>
        <w:pStyle w:val="Heading2"/>
      </w:pPr>
      <w:r>
        <w:t>4. Segmentación de Mercado</w:t>
      </w:r>
    </w:p>
    <w:p>
      <w:r>
        <w:t>Banco Base define un Mercado Objetivo con base en criterios sectoriales, geográficos y de tamaño de empresa. Dentro de este universo se identifica el Mercado Estratégico, conformado por empresas con exposición estructural a moneda extranjera, ya sea por exportaciones, importaciones o uso intensivo de divisas. El cumplimiento de los criterios de Mercado Estratégico es condición necesaria para el otorgamiento de financiamiento.</w:t>
      </w:r>
    </w:p>
    <w:p>
      <w:pPr>
        <w:pStyle w:val="Heading2"/>
      </w:pPr>
      <w:r>
        <w:t>5. Metodologías de Análisis</w:t>
      </w:r>
    </w:p>
    <w:p>
      <w:r>
        <w:t>Actualmente coexisten cuatro metodologías de análisis de crédito: Tradicional, Semi-paramétrica, Easy Credit y CrediBase. Cada una presenta distintos niveles de automatización, profundidad analítica y criterios de aprobación. CrediBase destaca como un modelo paramétrico integral orientado al Mercado Estratégico, incorporando variables financieras, comportamiento interno y buró de crédito.</w:t>
      </w:r>
    </w:p>
    <w:p>
      <w:pPr>
        <w:pStyle w:val="Heading2"/>
      </w:pPr>
      <w:r>
        <w:t>6. Criterios Mínimos de Admisión</w:t>
      </w:r>
    </w:p>
    <w:p>
      <w:r>
        <w:t>Los criterios mínimos de admisión consideran variables como nivel de ventas, antigüedad de la empresa, calificación en buró de crédito, capital contable positivo, ausencia de quiebra técnica y entrega de estados financieros. Si bien los criterios son conceptualmente consistentes entre metodologías, existen diferencias en umbrales, ponderaciones y reglas de decisión.</w:t>
      </w:r>
    </w:p>
    <w:p>
      <w:pPr>
        <w:pStyle w:val="Heading2"/>
      </w:pPr>
      <w:r>
        <w:t>7. Proceso Operativo</w:t>
      </w:r>
    </w:p>
    <w:p>
      <w:r>
        <w:t>El proceso de admisión inicia con la prospección comercial y continúa con la recopilación de información a través de Salesforce, consultas a buró de crédito, integración del expediente en OnBase, análisis por el área de crédito y resolución por la instancia facultada correspondiente. Las líneas aprobadas cuentan con vigencia anual y procesos de recalificación.</w:t>
      </w:r>
    </w:p>
    <w:p>
      <w:pPr>
        <w:pStyle w:val="Heading2"/>
      </w:pPr>
      <w:r>
        <w:t>8. Conclusión</w:t>
      </w:r>
    </w:p>
    <w:p>
      <w:r>
        <w:t>El análisis AS-IS evidencia una estrategia de crédito funcional pero fragmentada, con múltiples metodologías y criterios que dificultan la estandarización y automatización. Este consolidado sienta las bases para definir un modelo objetivo unificado, analítico y alineado a la visión corporativa de Banco Base.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