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2BB0" w14:textId="27244F7A" w:rsidR="006C0665" w:rsidRDefault="006C0665" w:rsidP="00247F8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hyperlink r:id="rId4" w:history="1">
        <w:r w:rsidRPr="006C0665">
          <w:rPr>
            <w:rStyle w:val="Hyperlink"/>
            <w:rFonts w:ascii="Times New Roman" w:eastAsia="Times New Roman" w:hAnsi="Times New Roman" w:cs="Times New Roman"/>
            <w:b/>
            <w:bCs/>
            <w:kern w:val="0"/>
            <w:sz w:val="27"/>
            <w:szCs w:val="27"/>
            <w:lang w:eastAsia="en-GB"/>
            <w14:ligatures w14:val="none"/>
          </w:rPr>
          <w:t>https://www.sciencedirect.com/science/article/pii/S0950329304000941</w:t>
        </w:r>
      </w:hyperlink>
    </w:p>
    <w:p w14:paraId="42DB2861" w14:textId="49C4A847" w:rsidR="006C0665" w:rsidRDefault="006C0665" w:rsidP="00247F8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hyperlink r:id="rId5" w:history="1">
        <w:r w:rsidRPr="006C0665">
          <w:rPr>
            <w:rStyle w:val="Hyperlink"/>
            <w:rFonts w:ascii="Times New Roman" w:eastAsia="Times New Roman" w:hAnsi="Times New Roman" w:cs="Times New Roman"/>
            <w:b/>
            <w:bCs/>
            <w:kern w:val="0"/>
            <w:sz w:val="27"/>
            <w:szCs w:val="27"/>
            <w:lang w:eastAsia="en-GB"/>
            <w14:ligatures w14:val="none"/>
          </w:rPr>
          <w:t>https://www.jstor.org/stable/pdf/10.1086/660044.pdf?refreqid=fastly-default%3Abb20254052e3377d1bcbc7b7f35f924c&amp;ab_segments=&amp;initiator=&amp;acceptTC=1</w:t>
        </w:r>
      </w:hyperlink>
    </w:p>
    <w:p w14:paraId="6A5D30A4" w14:textId="179ED196" w:rsidR="00247F85" w:rsidRPr="00247F85" w:rsidRDefault="00247F85" w:rsidP="00247F8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47F85">
        <w:rPr>
          <w:rFonts w:ascii="Times New Roman" w:eastAsia="Times New Roman" w:hAnsi="Times New Roman" w:cs="Times New Roman"/>
          <w:b/>
          <w:bCs/>
          <w:color w:val="000000"/>
          <w:kern w:val="0"/>
          <w:sz w:val="27"/>
          <w:szCs w:val="27"/>
          <w:lang w:eastAsia="en-GB"/>
          <w14:ligatures w14:val="none"/>
        </w:rPr>
        <w:t>Sample Size and Power</w:t>
      </w:r>
    </w:p>
    <w:p w14:paraId="141FF5EC" w14:textId="683EECC8"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color w:val="000000"/>
          <w:kern w:val="0"/>
          <w:lang w:eastAsia="en-GB"/>
          <w14:ligatures w14:val="none"/>
        </w:rPr>
        <w:t>Sample size was estimated following the samplewiser framework, targeting 95% confidence (</w:t>
      </w:r>
      <m:oMath>
        <m:r>
          <w:rPr>
            <w:rFonts w:ascii="Cambria Math" w:eastAsia="Times New Roman" w:hAnsi="Cambria Math" w:cs="Times New Roman"/>
            <w:kern w:val="0"/>
            <w:lang w:eastAsia="en-GB"/>
            <w14:ligatures w14:val="none"/>
          </w:rPr>
          <m:t>α=.05</m:t>
        </m:r>
      </m:oMath>
      <w:r w:rsidRPr="00247F85">
        <w:rPr>
          <w:rFonts w:ascii="Times New Roman" w:eastAsia="Times New Roman" w:hAnsi="Times New Roman" w:cs="Times New Roman"/>
          <w:color w:val="000000"/>
          <w:kern w:val="0"/>
          <w:lang w:eastAsia="en-GB"/>
          <w14:ligatures w14:val="none"/>
        </w:rPr>
        <w:t>, two-sided) and 80% power (</w:t>
      </w:r>
      <m:oMath>
        <m:r>
          <w:rPr>
            <w:rFonts w:ascii="Cambria Math" w:eastAsia="Times New Roman" w:hAnsi="Cambria Math" w:cs="Times New Roman"/>
            <w:kern w:val="0"/>
            <w:lang w:eastAsia="en-GB"/>
            <w14:ligatures w14:val="none"/>
          </w:rPr>
          <m:t>1-β=.80</m:t>
        </m:r>
      </m:oMath>
      <w:r w:rsidRPr="00247F85">
        <w:rPr>
          <w:rFonts w:ascii="Times New Roman" w:eastAsia="Times New Roman" w:hAnsi="Times New Roman" w:cs="Times New Roman"/>
          <w:color w:val="000000"/>
          <w:kern w:val="0"/>
          <w:lang w:eastAsia="en-GB"/>
          <w14:ligatures w14:val="none"/>
        </w:rPr>
        <w:t>), giving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1-α</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=1.960</m:t>
        </m:r>
      </m:oMath>
      <w:r w:rsidRPr="00247F85">
        <w:rPr>
          <w:rFonts w:ascii="Times New Roman" w:eastAsia="Times New Roman" w:hAnsi="Times New Roman" w:cs="Times New Roman"/>
          <w:color w:val="000000"/>
          <w:kern w:val="0"/>
          <w:lang w:eastAsia="en-GB"/>
          <w14:ligatures w14:val="none"/>
        </w:rPr>
        <w:t>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1-β</m:t>
            </m:r>
          </m:sub>
        </m:sSub>
        <m:r>
          <w:rPr>
            <w:rFonts w:ascii="Cambria Math" w:eastAsia="Times New Roman" w:hAnsi="Cambria Math" w:cs="Times New Roman"/>
            <w:kern w:val="0"/>
            <w:lang w:eastAsia="en-GB"/>
            <w14:ligatures w14:val="none"/>
          </w:rPr>
          <m:t>=0.842</m:t>
        </m:r>
      </m:oMath>
      <w:r w:rsidRPr="00247F85">
        <w:rPr>
          <w:rFonts w:ascii="Times New Roman" w:eastAsia="Times New Roman" w:hAnsi="Times New Roman" w:cs="Times New Roman"/>
          <w:color w:val="000000"/>
          <w:kern w:val="0"/>
          <w:lang w:eastAsia="en-GB"/>
          <w14:ligatures w14:val="none"/>
        </w:rPr>
        <w:t>.</w:t>
      </w:r>
    </w:p>
    <w:p w14:paraId="292A1941" w14:textId="77777777" w:rsidR="00247F85" w:rsidRDefault="00247F85" w:rsidP="00247F85">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247F85">
        <w:rPr>
          <w:rFonts w:ascii="Times New Roman" w:eastAsia="Times New Roman" w:hAnsi="Times New Roman" w:cs="Times New Roman"/>
          <w:b/>
          <w:bCs/>
          <w:color w:val="000000"/>
          <w:kern w:val="0"/>
          <w:lang w:eastAsia="en-GB"/>
          <w14:ligatures w14:val="none"/>
        </w:rPr>
        <w:t>Prior studies.</w:t>
      </w:r>
    </w:p>
    <w:p w14:paraId="46139200" w14:textId="00744677" w:rsidR="000C5542" w:rsidRPr="00247F85" w:rsidRDefault="000C5542"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C5542">
        <w:rPr>
          <w:rFonts w:ascii="Times New Roman" w:eastAsia="Times New Roman" w:hAnsi="Times New Roman" w:cs="Times New Roman"/>
          <w:color w:val="000000"/>
          <w:kern w:val="0"/>
          <w:lang w:eastAsia="en-GB"/>
          <w14:ligatures w14:val="none"/>
        </w:rPr>
        <w:t>No prior study reporting means and standard deviations on an appeal rating outcome was identified for the bundle, price, or time pressure manipulations. Sample size is therefore estimated based on the label effect (H2), which represents the primary theoretical contribution of this study, using Wansink et al. (2005).</w:t>
      </w:r>
    </w:p>
    <w:p w14:paraId="4F17A722"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color w:val="000000"/>
          <w:kern w:val="0"/>
          <w:lang w:eastAsia="en-GB"/>
          <w14:ligatures w14:val="none"/>
        </w:rPr>
        <w:t>*Wansink, Van Ittersum, and Painter (2005)* conducted a six-week field experiment in a university faculty cafeteria (</w:t>
      </w:r>
      <m:oMath>
        <m:r>
          <w:rPr>
            <w:rFonts w:ascii="Cambria Math" w:eastAsia="Times New Roman" w:hAnsi="Cambria Math" w:cs="Times New Roman"/>
            <w:kern w:val="0"/>
            <w:lang w:eastAsia="en-GB"/>
            <w14:ligatures w14:val="none"/>
          </w:rPr>
          <m:t>n=140</m:t>
        </m:r>
      </m:oMath>
      <w:r w:rsidRPr="00247F85">
        <w:rPr>
          <w:rFonts w:ascii="Times New Roman" w:eastAsia="Times New Roman" w:hAnsi="Times New Roman" w:cs="Times New Roman"/>
          <w:color w:val="000000"/>
          <w:kern w:val="0"/>
          <w:lang w:eastAsia="en-GB"/>
          <w14:ligatures w14:val="none"/>
        </w:rPr>
        <w:t> adults) in which descriptive food labels raised appeal ratings relative to regular names. It matches our design on context (institutional food setting), outcome (appeal rating), and manipulation type (label framing). It differs in using a non-student sample and a descriptive rather than benefit-oriented label. We assign expert weight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=0.75</m:t>
        </m:r>
      </m:oMath>
      <w:r w:rsidRPr="00247F85">
        <w:rPr>
          <w:rFonts w:ascii="Times New Roman" w:eastAsia="Times New Roman" w:hAnsi="Times New Roman" w:cs="Times New Roman"/>
          <w:color w:val="000000"/>
          <w:kern w:val="0"/>
          <w:lang w:eastAsia="en-GB"/>
          <w14:ligatures w14:val="none"/>
        </w:rPr>
        <w:t>.</w:t>
      </w:r>
    </w:p>
    <w:p w14:paraId="597398FE"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color w:val="000000"/>
          <w:kern w:val="0"/>
          <w:lang w:eastAsia="en-GB"/>
          <w14:ligatures w14:val="none"/>
        </w:rPr>
        <w:t>*Irmak, Vallen, and Robinson (2011)*, Study 4, is a laboratory experiment (</w:t>
      </w:r>
      <m:oMath>
        <m:r>
          <w:rPr>
            <w:rFonts w:ascii="Cambria Math" w:eastAsia="Times New Roman" w:hAnsi="Cambria Math" w:cs="Times New Roman"/>
            <w:kern w:val="0"/>
            <w:lang w:eastAsia="en-GB"/>
            <w14:ligatures w14:val="none"/>
          </w:rPr>
          <m:t>n=135</m:t>
        </m:r>
      </m:oMath>
      <w:r w:rsidRPr="00247F85">
        <w:rPr>
          <w:rFonts w:ascii="Times New Roman" w:eastAsia="Times New Roman" w:hAnsi="Times New Roman" w:cs="Times New Roman"/>
          <w:color w:val="000000"/>
          <w:kern w:val="0"/>
          <w:lang w:eastAsia="en-GB"/>
          <w14:ligatures w14:val="none"/>
        </w:rPr>
        <w:t> undergraduates) comparing a healthy product name (*fruit chews*) versus an unhealthy name (*candy chews*) on tastiness ratings. Although the manipulation (healthy vs. unhealthy name) and outcome (post-consumption tastiness) differ from ours, both studies share the same core mechanism: a verbal label attached to a food item shifting its hedonic evaluation. The undergraduate population also matches our sample. We assign a reduced expert weight of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=0.20</m:t>
        </m:r>
      </m:oMath>
      <w:r w:rsidRPr="00247F85">
        <w:rPr>
          <w:rFonts w:ascii="Times New Roman" w:eastAsia="Times New Roman" w:hAnsi="Times New Roman" w:cs="Times New Roman"/>
          <w:color w:val="000000"/>
          <w:kern w:val="0"/>
          <w:lang w:eastAsia="en-GB"/>
          <w14:ligatures w14:val="none"/>
        </w:rPr>
        <w:t>, reflecting the partial relevance of this study to our specific design.</w:t>
      </w:r>
    </w:p>
    <w:p w14:paraId="42C139B7"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b/>
          <w:bCs/>
          <w:color w:val="000000"/>
          <w:kern w:val="0"/>
          <w:lang w:eastAsia="en-GB"/>
          <w14:ligatures w14:val="none"/>
        </w:rPr>
        <w:t>Effect size extraction.</w:t>
      </w:r>
    </w:p>
    <w:p w14:paraId="09CFFB79"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color w:val="000000"/>
          <w:kern w:val="0"/>
          <w:lang w:eastAsia="en-GB"/>
          <w14:ligatures w14:val="none"/>
        </w:rPr>
        <w:t>For Wansink et al. (2005), Table 1 reports group means and standard deviations directly: </w:t>
      </w:r>
      <m:oMath>
        <m:sSub>
          <m:sSubPr>
            <m:ctrlPr>
              <w:rPr>
                <w:rFonts w:ascii="Cambria Math" w:eastAsia="Times New Roman" w:hAnsi="Cambria Math" w:cs="Times New Roman"/>
                <w:kern w:val="0"/>
                <w:lang w:eastAsia="en-GB"/>
                <w14:ligatures w14:val="none"/>
              </w:rPr>
            </m:ctrlPr>
          </m:sSubPr>
          <m:e>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=6.66</m:t>
        </m:r>
      </m:oMath>
      <w:r w:rsidRPr="00247F85">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S</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=1.59</m:t>
        </m:r>
      </m:oMath>
      <w:r w:rsidRPr="00247F85">
        <w:rPr>
          <w:rFonts w:ascii="Times New Roman" w:eastAsia="Times New Roman" w:hAnsi="Times New Roman" w:cs="Times New Roman"/>
          <w:color w:val="000000"/>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=84</m:t>
        </m:r>
      </m:oMath>
      <w:r w:rsidRPr="00247F85">
        <w:rPr>
          <w:rFonts w:ascii="Times New Roman" w:eastAsia="Times New Roman" w:hAnsi="Times New Roman" w:cs="Times New Roman"/>
          <w:color w:val="000000"/>
          <w:kern w:val="0"/>
          <w:lang w:eastAsia="en-GB"/>
          <w14:ligatures w14:val="none"/>
        </w:rPr>
        <w:t> (descriptive); </w:t>
      </w:r>
      <m:oMath>
        <m:sSub>
          <m:sSubPr>
            <m:ctrlPr>
              <w:rPr>
                <w:rFonts w:ascii="Cambria Math" w:eastAsia="Times New Roman" w:hAnsi="Cambria Math" w:cs="Times New Roman"/>
                <w:kern w:val="0"/>
                <w:lang w:eastAsia="en-GB"/>
                <w14:ligatures w14:val="none"/>
              </w:rPr>
            </m:ctrlPr>
          </m:sSubPr>
          <m:e>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=5.87</m:t>
        </m:r>
      </m:oMath>
      <w:r w:rsidRPr="00247F85">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S</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=2.08</m:t>
        </m:r>
      </m:oMath>
      <w:r w:rsidRPr="00247F85">
        <w:rPr>
          <w:rFonts w:ascii="Times New Roman" w:eastAsia="Times New Roman" w:hAnsi="Times New Roman" w:cs="Times New Roman"/>
          <w:color w:val="000000"/>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=56</m:t>
        </m:r>
      </m:oMath>
      <w:r w:rsidRPr="00247F85">
        <w:rPr>
          <w:rFonts w:ascii="Times New Roman" w:eastAsia="Times New Roman" w:hAnsi="Times New Roman" w:cs="Times New Roman"/>
          <w:color w:val="000000"/>
          <w:kern w:val="0"/>
          <w:lang w:eastAsia="en-GB"/>
          <w14:ligatures w14:val="none"/>
        </w:rPr>
        <w:t>(regular). Following the slide formulas:</w:t>
      </w:r>
    </w:p>
    <w:p w14:paraId="0AEF0A35" w14:textId="77777777" w:rsidR="00247F85" w:rsidRPr="00247F85" w:rsidRDefault="00000000" w:rsidP="00247F85">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pooled</m:t>
              </m:r>
            </m:sub>
          </m:sSub>
          <m:r>
            <w:rPr>
              <w:rFonts w:ascii="Cambria Math" w:eastAsia="Times New Roman" w:hAnsi="Cambria Math" w:cs="Times New Roman"/>
              <w:kern w:val="0"/>
              <w:lang w:eastAsia="en-GB"/>
              <w14:ligatures w14:val="none"/>
            </w:rPr>
            <m:t>=</m:t>
          </m:r>
          <m:rad>
            <m:radPr>
              <m:degHide m:val="1"/>
              <m:ctrlPr>
                <w:rPr>
                  <w:rFonts w:ascii="Cambria Math" w:eastAsia="Times New Roman" w:hAnsi="Cambria Math" w:cs="Times New Roman"/>
                  <w:kern w:val="0"/>
                  <w:lang w:eastAsia="en-GB"/>
                  <w14:ligatures w14:val="none"/>
                </w:rPr>
              </m:ctrlPr>
            </m:radPr>
            <m:deg/>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-1)S</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1</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-1)S</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0</m:t>
                      </m:r>
                    </m:sub>
                    <m:sup>
                      <m:r>
                        <w:rPr>
                          <w:rFonts w:ascii="Cambria Math" w:eastAsia="Times New Roman" w:hAnsi="Cambria Math" w:cs="Times New Roman"/>
                          <w:kern w:val="0"/>
                          <w:lang w:eastAsia="en-GB"/>
                          <w14:ligatures w14:val="none"/>
                        </w:rPr>
                        <m:t>2</m:t>
                      </m:r>
                    </m:sup>
                  </m:sSubSup>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-2</m:t>
                  </m:r>
                </m:den>
              </m:f>
            </m:e>
          </m:rad>
          <m:r>
            <w:rPr>
              <w:rFonts w:ascii="Cambria Math" w:eastAsia="Times New Roman" w:hAnsi="Cambria Math" w:cs="Times New Roman"/>
              <w:kern w:val="0"/>
              <w:lang w:eastAsia="en-GB"/>
              <w14:ligatures w14:val="none"/>
            </w:rPr>
            <m:t>=</m:t>
          </m:r>
          <m:rad>
            <m:radPr>
              <m:degHide m:val="1"/>
              <m:ctrlPr>
                <w:rPr>
                  <w:rFonts w:ascii="Cambria Math" w:eastAsia="Times New Roman" w:hAnsi="Cambria Math" w:cs="Times New Roman"/>
                  <w:kern w:val="0"/>
                  <w:lang w:eastAsia="en-GB"/>
                  <w14:ligatures w14:val="none"/>
                </w:rPr>
              </m:ctrlPr>
            </m:radPr>
            <m:deg/>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83×</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1.59</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+55×</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2.08</m:t>
                      </m:r>
                    </m:e>
                    <m:sup>
                      <m:r>
                        <w:rPr>
                          <w:rFonts w:ascii="Cambria Math" w:eastAsia="Times New Roman" w:hAnsi="Cambria Math" w:cs="Times New Roman"/>
                          <w:kern w:val="0"/>
                          <w:lang w:eastAsia="en-GB"/>
                          <w14:ligatures w14:val="none"/>
                        </w:rPr>
                        <m:t>2</m:t>
                      </m:r>
                    </m:sup>
                  </m:sSup>
                </m:num>
                <m:den>
                  <m:r>
                    <w:rPr>
                      <w:rFonts w:ascii="Cambria Math" w:eastAsia="Times New Roman" w:hAnsi="Cambria Math" w:cs="Times New Roman"/>
                      <w:kern w:val="0"/>
                      <w:lang w:eastAsia="en-GB"/>
                      <w14:ligatures w14:val="none"/>
                    </w:rPr>
                    <m:t>138</m:t>
                  </m:r>
                </m:den>
              </m:f>
            </m:e>
          </m:rad>
          <m:r>
            <w:rPr>
              <w:rFonts w:ascii="Cambria Math" w:eastAsia="Times New Roman" w:hAnsi="Cambria Math" w:cs="Times New Roman"/>
              <w:kern w:val="0"/>
              <w:lang w:eastAsia="en-GB"/>
              <w14:ligatures w14:val="none"/>
            </w:rPr>
            <m:t>=1.801</m:t>
          </m:r>
          <m:r>
            <m:rPr>
              <m:sty m:val="p"/>
            </m:rPr>
            <w:rPr>
              <w:rFonts w:ascii="Cambria Math" w:eastAsia="Times New Roman" w:hAnsi="Cambria Math" w:cs="Times New Roman"/>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0</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pooled</m:t>
                  </m:r>
                </m:sub>
              </m:sSub>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6.66-5.87</m:t>
              </m:r>
            </m:num>
            <m:den>
              <m:r>
                <w:rPr>
                  <w:rFonts w:ascii="Cambria Math" w:eastAsia="Times New Roman" w:hAnsi="Cambria Math" w:cs="Times New Roman"/>
                  <w:kern w:val="0"/>
                  <w:lang w:eastAsia="en-GB"/>
                  <w14:ligatures w14:val="none"/>
                </w:rPr>
                <m:t>1.801</m:t>
              </m:r>
            </m:den>
          </m:f>
          <m:r>
            <w:rPr>
              <w:rFonts w:ascii="Cambria Math" w:eastAsia="Times New Roman" w:hAnsi="Cambria Math" w:cs="Times New Roman"/>
              <w:kern w:val="0"/>
              <w:lang w:eastAsia="en-GB"/>
              <w14:ligatures w14:val="none"/>
            </w:rPr>
            <m:t>=0.439</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0.439</m:t>
              </m:r>
            </m:num>
            <m:den>
              <m:rad>
                <m:radPr>
                  <m:degHide m:val="1"/>
                  <m:ctrlPr>
                    <w:rPr>
                      <w:rFonts w:ascii="Cambria Math" w:eastAsia="Times New Roman" w:hAnsi="Cambria Math" w:cs="Times New Roman"/>
                      <w:kern w:val="0"/>
                      <w:lang w:eastAsia="en-GB"/>
                      <w14:ligatures w14:val="none"/>
                    </w:rPr>
                  </m:ctrlPr>
                </m:radPr>
                <m:deg/>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0.439</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+4</m:t>
                  </m:r>
                </m:e>
              </m:rad>
            </m:den>
          </m:f>
          <m:r>
            <w:rPr>
              <w:rFonts w:ascii="Cambria Math" w:eastAsia="Times New Roman" w:hAnsi="Cambria Math" w:cs="Times New Roman"/>
              <w:kern w:val="0"/>
              <w:lang w:eastAsia="en-GB"/>
              <w14:ligatures w14:val="none"/>
            </w:rPr>
            <m:t>=0.214</m:t>
          </m:r>
          <m:r>
            <m:rPr>
              <m:sty m:val="p"/>
            </m:rPr>
            <w:rPr>
              <w:rFonts w:ascii="Cambria Math" w:eastAsia="Times New Roman" w:hAnsi="Cambria Math" w:cs="Times New Roman"/>
              <w:kern w:val="0"/>
              <w:lang w:eastAsia="en-GB"/>
              <w14:ligatures w14:val="none"/>
            </w:rPr>
            <w:br/>
          </m:r>
        </m:oMath>
      </m:oMathPara>
    </w:p>
    <w:p w14:paraId="0F673E0B"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color w:val="000000"/>
          <w:kern w:val="0"/>
          <w:lang w:eastAsia="en-GB"/>
          <w14:ligatures w14:val="none"/>
        </w:rPr>
        <w:lastRenderedPageBreak/>
        <w:t>For Irmak et al. (2011) Study 4, the paper does not report separate group means and standard deviations for tastiness — all analyses use regression with dieting tendency as a continuous moderator. The only available test statistic for the tastiness effect is </w:t>
      </w:r>
      <m:oMath>
        <m:r>
          <w:rPr>
            <w:rFonts w:ascii="Cambria Math" w:eastAsia="Times New Roman" w:hAnsi="Cambria Math" w:cs="Times New Roman"/>
            <w:kern w:val="0"/>
            <w:lang w:eastAsia="en-GB"/>
            <w14:ligatures w14:val="none"/>
          </w:rPr>
          <m:t>t(134)=2.00</m:t>
        </m:r>
      </m:oMath>
      <w:r w:rsidRPr="00247F85">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p&lt;.05</m:t>
        </m:r>
      </m:oMath>
      <w:r w:rsidRPr="00247F85">
        <w:rPr>
          <w:rFonts w:ascii="Times New Roman" w:eastAsia="Times New Roman" w:hAnsi="Times New Roman" w:cs="Times New Roman"/>
          <w:color w:val="000000"/>
          <w:kern w:val="0"/>
          <w:lang w:eastAsia="en-GB"/>
          <w14:ligatures w14:val="none"/>
        </w:rPr>
        <w:t>. We therefore derive Cohen's </w:t>
      </w:r>
      <m:oMath>
        <m:r>
          <w:rPr>
            <w:rFonts w:ascii="Cambria Math" w:eastAsia="Times New Roman" w:hAnsi="Cambria Math" w:cs="Times New Roman"/>
            <w:kern w:val="0"/>
            <w:lang w:eastAsia="en-GB"/>
            <w14:ligatures w14:val="none"/>
          </w:rPr>
          <m:t>d</m:t>
        </m:r>
      </m:oMath>
      <w:r w:rsidRPr="00247F85">
        <w:rPr>
          <w:rFonts w:ascii="Times New Roman" w:eastAsia="Times New Roman" w:hAnsi="Times New Roman" w:cs="Times New Roman"/>
          <w:color w:val="000000"/>
          <w:kern w:val="0"/>
          <w:lang w:eastAsia="en-GB"/>
          <w14:ligatures w14:val="none"/>
        </w:rPr>
        <w:t> from the </w:t>
      </w:r>
      <m:oMath>
        <m:r>
          <w:rPr>
            <w:rFonts w:ascii="Cambria Math" w:eastAsia="Times New Roman" w:hAnsi="Cambria Math" w:cs="Times New Roman"/>
            <w:kern w:val="0"/>
            <w:lang w:eastAsia="en-GB"/>
            <w14:ligatures w14:val="none"/>
          </w:rPr>
          <m:t>t</m:t>
        </m:r>
      </m:oMath>
      <w:r w:rsidRPr="00247F85">
        <w:rPr>
          <w:rFonts w:ascii="Times New Roman" w:eastAsia="Times New Roman" w:hAnsi="Times New Roman" w:cs="Times New Roman"/>
          <w:color w:val="000000"/>
          <w:kern w:val="0"/>
          <w:lang w:eastAsia="en-GB"/>
          <w14:ligatures w14:val="none"/>
        </w:rPr>
        <w:t>-statistic using the equivalent formula before applying the slide conversion:</w:t>
      </w:r>
    </w:p>
    <w:p w14:paraId="0E0FED68" w14:textId="07BFFDC1" w:rsidR="00247F85" w:rsidRPr="000C5542" w:rsidRDefault="00000000" w:rsidP="000C5542">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2t</m:t>
              </m:r>
            </m:num>
            <m:den>
              <m:rad>
                <m:radPr>
                  <m:degHide m:val="1"/>
                  <m:ctrlPr>
                    <w:rPr>
                      <w:rFonts w:ascii="Cambria Math" w:eastAsia="Times New Roman" w:hAnsi="Cambria Math" w:cs="Times New Roman"/>
                      <w:kern w:val="0"/>
                      <w:lang w:eastAsia="en-GB"/>
                      <w14:ligatures w14:val="none"/>
                    </w:rPr>
                  </m:ctrlPr>
                </m:radPr>
                <m:deg/>
                <m:e>
                  <m:r>
                    <w:rPr>
                      <w:rFonts w:ascii="Cambria Math" w:eastAsia="Times New Roman" w:hAnsi="Cambria Math" w:cs="Times New Roman"/>
                      <w:kern w:val="0"/>
                      <w:lang w:eastAsia="en-GB"/>
                      <w14:ligatures w14:val="none"/>
                    </w:rPr>
                    <m:t>df</m:t>
                  </m:r>
                </m:e>
              </m:rad>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2×2.00</m:t>
              </m:r>
            </m:num>
            <m:den>
              <m:rad>
                <m:radPr>
                  <m:degHide m:val="1"/>
                  <m:ctrlPr>
                    <w:rPr>
                      <w:rFonts w:ascii="Cambria Math" w:eastAsia="Times New Roman" w:hAnsi="Cambria Math" w:cs="Times New Roman"/>
                      <w:kern w:val="0"/>
                      <w:lang w:eastAsia="en-GB"/>
                      <w14:ligatures w14:val="none"/>
                    </w:rPr>
                  </m:ctrlPr>
                </m:radPr>
                <m:deg/>
                <m:e>
                  <m:r>
                    <w:rPr>
                      <w:rFonts w:ascii="Cambria Math" w:eastAsia="Times New Roman" w:hAnsi="Cambria Math" w:cs="Times New Roman"/>
                      <w:kern w:val="0"/>
                      <w:lang w:eastAsia="en-GB"/>
                      <w14:ligatures w14:val="none"/>
                    </w:rPr>
                    <m:t>134</m:t>
                  </m:r>
                </m:e>
              </m:rad>
            </m:den>
          </m:f>
          <m:r>
            <w:rPr>
              <w:rFonts w:ascii="Cambria Math" w:eastAsia="Times New Roman" w:hAnsi="Cambria Math" w:cs="Times New Roman"/>
              <w:kern w:val="0"/>
              <w:lang w:eastAsia="en-GB"/>
              <w14:ligatures w14:val="none"/>
            </w:rPr>
            <m:t>=0.346</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0.346</m:t>
              </m:r>
            </m:num>
            <m:den>
              <m:rad>
                <m:radPr>
                  <m:degHide m:val="1"/>
                  <m:ctrlPr>
                    <w:rPr>
                      <w:rFonts w:ascii="Cambria Math" w:eastAsia="Times New Roman" w:hAnsi="Cambria Math" w:cs="Times New Roman"/>
                      <w:kern w:val="0"/>
                      <w:lang w:eastAsia="en-GB"/>
                      <w14:ligatures w14:val="none"/>
                    </w:rPr>
                  </m:ctrlPr>
                </m:radPr>
                <m:deg/>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0.346</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+4</m:t>
                  </m:r>
                </m:e>
              </m:rad>
            </m:den>
          </m:f>
          <m:r>
            <w:rPr>
              <w:rFonts w:ascii="Cambria Math" w:eastAsia="Times New Roman" w:hAnsi="Cambria Math" w:cs="Times New Roman"/>
              <w:kern w:val="0"/>
              <w:lang w:eastAsia="en-GB"/>
              <w14:ligatures w14:val="none"/>
            </w:rPr>
            <m:t>=0.170</m:t>
          </m:r>
          <m:r>
            <m:rPr>
              <m:sty m:val="p"/>
            </m:rPr>
            <w:rPr>
              <w:rFonts w:ascii="Cambria Math" w:eastAsia="Times New Roman" w:hAnsi="Cambria Math" w:cs="Times New Roman"/>
              <w:kern w:val="0"/>
              <w:lang w:eastAsia="en-GB"/>
              <w14:ligatures w14:val="none"/>
            </w:rPr>
            <w:br/>
          </m:r>
        </m:oMath>
      </m:oMathPara>
    </w:p>
    <w:p w14:paraId="21C02962" w14:textId="46F7088D"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b/>
          <w:bCs/>
          <w:color w:val="000000"/>
          <w:kern w:val="0"/>
          <w:lang w:eastAsia="en-GB"/>
          <w14:ligatures w14:val="none"/>
        </w:rPr>
        <w:t>Synthesis.</w:t>
      </w:r>
      <w:r w:rsidRPr="00247F85">
        <w:rPr>
          <w:rFonts w:ascii="Times New Roman" w:eastAsia="Times New Roman" w:hAnsi="Times New Roman" w:cs="Times New Roman"/>
          <w:color w:val="000000"/>
          <w:kern w:val="0"/>
          <w:lang w:eastAsia="en-GB"/>
          <w14:ligatures w14:val="none"/>
        </w:rPr>
        <w:t> We convert each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sub>
        </m:sSub>
      </m:oMath>
      <w:r w:rsidRPr="00247F85">
        <w:rPr>
          <w:rFonts w:ascii="Times New Roman" w:eastAsia="Times New Roman" w:hAnsi="Times New Roman" w:cs="Times New Roman"/>
          <w:color w:val="000000"/>
          <w:kern w:val="0"/>
          <w:lang w:eastAsia="en-GB"/>
          <w14:ligatures w14:val="none"/>
        </w:rPr>
        <w:t> to Fisher's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atanh</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oMath>
      <w:r w:rsidRPr="00247F85">
        <w:rPr>
          <w:rFonts w:ascii="Times New Roman" w:eastAsia="Times New Roman" w:hAnsi="Times New Roman" w:cs="Times New Roman"/>
          <w:color w:val="000000"/>
          <w:kern w:val="0"/>
          <w:lang w:eastAsia="en-GB"/>
          <w14:ligatures w14:val="none"/>
        </w:rPr>
        <w:t>, compute expert-weighted effective sample sizes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-3)</m:t>
        </m:r>
      </m:oMath>
      <w:r w:rsidRPr="00247F85">
        <w:rPr>
          <w:rFonts w:ascii="Times New Roman" w:eastAsia="Times New Roman" w:hAnsi="Times New Roman" w:cs="Times New Roman"/>
          <w:color w:val="000000"/>
          <w:kern w:val="0"/>
          <w:lang w:eastAsia="en-GB"/>
          <w14:ligatures w14:val="none"/>
        </w:rPr>
        <w:t>, and combine:</w:t>
      </w:r>
    </w:p>
    <w:p w14:paraId="64005DBB" w14:textId="77777777" w:rsidR="00247F85" w:rsidRPr="00247F85" w:rsidRDefault="00000000" w:rsidP="00247F85">
      <w:pPr>
        <w:spacing w:after="0" w:line="240" w:lineRule="auto"/>
        <w:rPr>
          <w:rFonts w:ascii="Times New Roman" w:eastAsia="Times New Roman" w:hAnsi="Times New Roman" w:cs="Times New Roman"/>
          <w:kern w:val="0"/>
          <w:lang w:eastAsia="en-GB"/>
          <w14:ligatures w14:val="none"/>
        </w:rPr>
      </w:pPr>
      <m:oMathPara>
        <m:oMath>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z</m:t>
              </m:r>
            </m:e>
          </m:acc>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i</m:t>
                  </m:r>
                </m:sub>
              </m:sSub>
            </m:num>
            <m:den>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den>
          </m:f>
          <m:r>
            <m:rPr>
              <m:sty m:val="p"/>
            </m:rPr>
            <w:rPr>
              <w:rFonts w:ascii="Cambria Math" w:eastAsia="Times New Roman" w:hAnsi="Cambria Math" w:cs="Times New Roman"/>
              <w:kern w:val="0"/>
              <w:lang w:eastAsia="en-GB"/>
              <w14:ligatures w14:val="none"/>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00"/>
        <w:gridCol w:w="600"/>
        <w:gridCol w:w="720"/>
        <w:gridCol w:w="480"/>
        <w:gridCol w:w="600"/>
        <w:gridCol w:w="615"/>
      </w:tblGrid>
      <w:tr w:rsidR="00247F85" w:rsidRPr="00247F85" w14:paraId="0ADC64A7" w14:textId="77777777">
        <w:trPr>
          <w:tblHeader/>
          <w:tblCellSpacing w:w="15" w:type="dxa"/>
        </w:trPr>
        <w:tc>
          <w:tcPr>
            <w:tcW w:w="0" w:type="auto"/>
            <w:vAlign w:val="center"/>
            <w:hideMark/>
          </w:tcPr>
          <w:p w14:paraId="7D18B38F" w14:textId="77777777" w:rsidR="00247F85" w:rsidRPr="00247F85" w:rsidRDefault="00247F85" w:rsidP="00247F85">
            <w:pPr>
              <w:spacing w:after="0" w:line="240" w:lineRule="auto"/>
              <w:jc w:val="center"/>
              <w:rPr>
                <w:rFonts w:ascii="Times New Roman" w:eastAsia="Times New Roman" w:hAnsi="Times New Roman" w:cs="Times New Roman"/>
                <w:b/>
                <w:bCs/>
                <w:kern w:val="0"/>
                <w:lang w:eastAsia="en-GB"/>
                <w14:ligatures w14:val="none"/>
              </w:rPr>
            </w:pPr>
            <w:r w:rsidRPr="00247F85">
              <w:rPr>
                <w:rFonts w:ascii="Times New Roman" w:eastAsia="Times New Roman" w:hAnsi="Times New Roman" w:cs="Times New Roman"/>
                <w:b/>
                <w:bCs/>
                <w:kern w:val="0"/>
                <w:lang w:eastAsia="en-GB"/>
                <w14:ligatures w14:val="none"/>
              </w:rPr>
              <w:t>Study</w:t>
            </w:r>
          </w:p>
        </w:tc>
        <w:tc>
          <w:tcPr>
            <w:tcW w:w="0" w:type="auto"/>
            <w:vAlign w:val="center"/>
            <w:hideMark/>
          </w:tcPr>
          <w:p w14:paraId="37AD72FB" w14:textId="77777777" w:rsidR="00247F85" w:rsidRPr="00247F85" w:rsidRDefault="00000000" w:rsidP="00247F85">
            <w:pPr>
              <w:spacing w:after="0" w:line="240" w:lineRule="auto"/>
              <w:jc w:val="center"/>
              <w:rPr>
                <w:rFonts w:ascii="Times New Roman" w:eastAsia="Times New Roman" w:hAnsi="Times New Roman" w:cs="Times New Roman"/>
                <w:b/>
                <w:bCs/>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1420CE98" w14:textId="77777777" w:rsidR="00247F85" w:rsidRPr="00247F85" w:rsidRDefault="00000000" w:rsidP="00247F85">
            <w:pPr>
              <w:spacing w:after="0" w:line="240" w:lineRule="auto"/>
              <w:jc w:val="center"/>
              <w:rPr>
                <w:rFonts w:ascii="Times New Roman" w:eastAsia="Times New Roman" w:hAnsi="Times New Roman" w:cs="Times New Roman"/>
                <w:b/>
                <w:bCs/>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49A254AA" w14:textId="77777777" w:rsidR="00247F85" w:rsidRPr="00247F85" w:rsidRDefault="00000000" w:rsidP="00247F85">
            <w:pPr>
              <w:spacing w:after="0" w:line="240" w:lineRule="auto"/>
              <w:jc w:val="center"/>
              <w:rPr>
                <w:rFonts w:ascii="Times New Roman" w:eastAsia="Times New Roman" w:hAnsi="Times New Roman" w:cs="Times New Roman"/>
                <w:b/>
                <w:bCs/>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7396E77B" w14:textId="77777777" w:rsidR="00247F85" w:rsidRPr="00247F85" w:rsidRDefault="00000000" w:rsidP="00247F85">
            <w:pPr>
              <w:spacing w:after="0" w:line="240" w:lineRule="auto"/>
              <w:jc w:val="center"/>
              <w:rPr>
                <w:rFonts w:ascii="Times New Roman" w:eastAsia="Times New Roman" w:hAnsi="Times New Roman" w:cs="Times New Roman"/>
                <w:b/>
                <w:bCs/>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7F3B3ED5" w14:textId="77777777" w:rsidR="00247F85" w:rsidRPr="00247F85" w:rsidRDefault="00000000" w:rsidP="00247F85">
            <w:pPr>
              <w:spacing w:after="0" w:line="240" w:lineRule="auto"/>
              <w:jc w:val="center"/>
              <w:rPr>
                <w:rFonts w:ascii="Times New Roman" w:eastAsia="Times New Roman" w:hAnsi="Times New Roman" w:cs="Times New Roman"/>
                <w:b/>
                <w:bCs/>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oMath>
            </m:oMathPara>
          </w:p>
        </w:tc>
        <w:tc>
          <w:tcPr>
            <w:tcW w:w="0" w:type="auto"/>
            <w:vAlign w:val="center"/>
            <w:hideMark/>
          </w:tcPr>
          <w:p w14:paraId="1EE679D3" w14:textId="77777777" w:rsidR="00247F85" w:rsidRPr="00247F85" w:rsidRDefault="00000000" w:rsidP="00247F85">
            <w:pPr>
              <w:spacing w:after="0" w:line="240" w:lineRule="auto"/>
              <w:jc w:val="center"/>
              <w:rPr>
                <w:rFonts w:ascii="Times New Roman" w:eastAsia="Times New Roman" w:hAnsi="Times New Roman" w:cs="Times New Roman"/>
                <w:b/>
                <w:bCs/>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i</m:t>
                    </m:r>
                  </m:sub>
                </m:sSub>
              </m:oMath>
            </m:oMathPara>
          </w:p>
        </w:tc>
      </w:tr>
      <w:tr w:rsidR="00247F85" w:rsidRPr="00247F85" w14:paraId="570A0486" w14:textId="77777777">
        <w:trPr>
          <w:tblCellSpacing w:w="15" w:type="dxa"/>
        </w:trPr>
        <w:tc>
          <w:tcPr>
            <w:tcW w:w="0" w:type="auto"/>
            <w:vAlign w:val="center"/>
            <w:hideMark/>
          </w:tcPr>
          <w:p w14:paraId="440E1BB5"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Wansink et al. (2005)</w:t>
            </w:r>
          </w:p>
        </w:tc>
        <w:tc>
          <w:tcPr>
            <w:tcW w:w="0" w:type="auto"/>
            <w:vAlign w:val="center"/>
            <w:hideMark/>
          </w:tcPr>
          <w:p w14:paraId="6C49BBB4"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0.439</w:t>
            </w:r>
          </w:p>
        </w:tc>
        <w:tc>
          <w:tcPr>
            <w:tcW w:w="0" w:type="auto"/>
            <w:vAlign w:val="center"/>
            <w:hideMark/>
          </w:tcPr>
          <w:p w14:paraId="63B2D722"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0.214</w:t>
            </w:r>
          </w:p>
        </w:tc>
        <w:tc>
          <w:tcPr>
            <w:tcW w:w="0" w:type="auto"/>
            <w:vAlign w:val="center"/>
            <w:hideMark/>
          </w:tcPr>
          <w:p w14:paraId="5EF41F06"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0.2176</w:t>
            </w:r>
          </w:p>
        </w:tc>
        <w:tc>
          <w:tcPr>
            <w:tcW w:w="0" w:type="auto"/>
            <w:vAlign w:val="center"/>
            <w:hideMark/>
          </w:tcPr>
          <w:p w14:paraId="565703B1"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0.75</w:t>
            </w:r>
          </w:p>
        </w:tc>
        <w:tc>
          <w:tcPr>
            <w:tcW w:w="0" w:type="auto"/>
            <w:vAlign w:val="center"/>
            <w:hideMark/>
          </w:tcPr>
          <w:p w14:paraId="63358753"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102.8</w:t>
            </w:r>
          </w:p>
        </w:tc>
        <w:tc>
          <w:tcPr>
            <w:tcW w:w="0" w:type="auto"/>
            <w:vAlign w:val="center"/>
            <w:hideMark/>
          </w:tcPr>
          <w:p w14:paraId="179555D2"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22.37</w:t>
            </w:r>
          </w:p>
        </w:tc>
      </w:tr>
      <w:tr w:rsidR="00247F85" w:rsidRPr="00247F85" w14:paraId="5A5B6DED" w14:textId="77777777">
        <w:trPr>
          <w:tblCellSpacing w:w="15" w:type="dxa"/>
        </w:trPr>
        <w:tc>
          <w:tcPr>
            <w:tcW w:w="0" w:type="auto"/>
            <w:vAlign w:val="center"/>
            <w:hideMark/>
          </w:tcPr>
          <w:p w14:paraId="365C5B1A"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Irmak et al. (2011)</w:t>
            </w:r>
          </w:p>
        </w:tc>
        <w:tc>
          <w:tcPr>
            <w:tcW w:w="0" w:type="auto"/>
            <w:vAlign w:val="center"/>
            <w:hideMark/>
          </w:tcPr>
          <w:p w14:paraId="101FC6CB"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0.346</w:t>
            </w:r>
          </w:p>
        </w:tc>
        <w:tc>
          <w:tcPr>
            <w:tcW w:w="0" w:type="auto"/>
            <w:vAlign w:val="center"/>
            <w:hideMark/>
          </w:tcPr>
          <w:p w14:paraId="2E1A2520"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0.170</w:t>
            </w:r>
          </w:p>
        </w:tc>
        <w:tc>
          <w:tcPr>
            <w:tcW w:w="0" w:type="auto"/>
            <w:vAlign w:val="center"/>
            <w:hideMark/>
          </w:tcPr>
          <w:p w14:paraId="3C0F0C20"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0.1717</w:t>
            </w:r>
          </w:p>
        </w:tc>
        <w:tc>
          <w:tcPr>
            <w:tcW w:w="0" w:type="auto"/>
            <w:vAlign w:val="center"/>
            <w:hideMark/>
          </w:tcPr>
          <w:p w14:paraId="2850F6C0"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0.20</w:t>
            </w:r>
          </w:p>
        </w:tc>
        <w:tc>
          <w:tcPr>
            <w:tcW w:w="0" w:type="auto"/>
            <w:vAlign w:val="center"/>
            <w:hideMark/>
          </w:tcPr>
          <w:p w14:paraId="4516F665"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26.4</w:t>
            </w:r>
          </w:p>
        </w:tc>
        <w:tc>
          <w:tcPr>
            <w:tcW w:w="0" w:type="auto"/>
            <w:vAlign w:val="center"/>
            <w:hideMark/>
          </w:tcPr>
          <w:p w14:paraId="1CF767F2"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kern w:val="0"/>
                <w:lang w:eastAsia="en-GB"/>
                <w14:ligatures w14:val="none"/>
              </w:rPr>
              <w:t>4.53</w:t>
            </w:r>
          </w:p>
        </w:tc>
      </w:tr>
      <w:tr w:rsidR="00247F85" w:rsidRPr="00247F85" w14:paraId="51F2B0F3" w14:textId="77777777">
        <w:trPr>
          <w:tblCellSpacing w:w="15" w:type="dxa"/>
        </w:trPr>
        <w:tc>
          <w:tcPr>
            <w:tcW w:w="0" w:type="auto"/>
            <w:vAlign w:val="center"/>
            <w:hideMark/>
          </w:tcPr>
          <w:p w14:paraId="00951417"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b/>
                <w:bCs/>
                <w:kern w:val="0"/>
                <w:lang w:eastAsia="en-GB"/>
                <w14:ligatures w14:val="none"/>
              </w:rPr>
              <w:t>Total</w:t>
            </w:r>
          </w:p>
        </w:tc>
        <w:tc>
          <w:tcPr>
            <w:tcW w:w="0" w:type="auto"/>
            <w:vAlign w:val="center"/>
            <w:hideMark/>
          </w:tcPr>
          <w:p w14:paraId="7230548D"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432886C8" w14:textId="77777777" w:rsidR="00247F85" w:rsidRPr="00247F85" w:rsidRDefault="00247F85" w:rsidP="00247F8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04C778B5" w14:textId="77777777" w:rsidR="00247F85" w:rsidRPr="00247F85" w:rsidRDefault="00247F85" w:rsidP="00247F8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736E6741" w14:textId="77777777" w:rsidR="00247F85" w:rsidRPr="00247F85" w:rsidRDefault="00247F85" w:rsidP="00247F8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6D7C2EF5"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b/>
                <w:bCs/>
                <w:kern w:val="0"/>
                <w:lang w:eastAsia="en-GB"/>
                <w14:ligatures w14:val="none"/>
              </w:rPr>
              <w:t>129.2</w:t>
            </w:r>
          </w:p>
        </w:tc>
        <w:tc>
          <w:tcPr>
            <w:tcW w:w="0" w:type="auto"/>
            <w:vAlign w:val="center"/>
            <w:hideMark/>
          </w:tcPr>
          <w:p w14:paraId="50226111"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w:r w:rsidRPr="00247F85">
              <w:rPr>
                <w:rFonts w:ascii="Times New Roman" w:eastAsia="Times New Roman" w:hAnsi="Times New Roman" w:cs="Times New Roman"/>
                <w:b/>
                <w:bCs/>
                <w:kern w:val="0"/>
                <w:lang w:eastAsia="en-GB"/>
                <w14:ligatures w14:val="none"/>
              </w:rPr>
              <w:t>26.90</w:t>
            </w:r>
          </w:p>
        </w:tc>
      </w:tr>
    </w:tbl>
    <w:p w14:paraId="667B4A11" w14:textId="77777777" w:rsidR="00247F85" w:rsidRPr="00247F85" w:rsidRDefault="00000000" w:rsidP="00247F85">
      <w:pPr>
        <w:spacing w:after="0" w:line="240" w:lineRule="auto"/>
        <w:rPr>
          <w:rFonts w:ascii="Times New Roman" w:eastAsia="Times New Roman" w:hAnsi="Times New Roman" w:cs="Times New Roman"/>
          <w:kern w:val="0"/>
          <w:lang w:eastAsia="en-GB"/>
          <w14:ligatures w14:val="none"/>
        </w:rPr>
      </w:pPr>
      <m:oMathPara>
        <m:oMath>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z</m:t>
              </m:r>
            </m:e>
          </m:acc>
          <m:r>
            <w:rPr>
              <w:rFonts w:ascii="Cambria Math" w:eastAsia="Times New Roman" w:hAnsi="Cambria Math" w:cs="Times New Roman"/>
              <w:kern w:val="0"/>
              <w:lang w:eastAsia="en-GB"/>
              <w14:ligatures w14:val="none"/>
            </w:rPr>
            <m:t>=26.90</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129.2=0.2082</m:t>
          </m:r>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r</m:t>
              </m:r>
            </m:e>
          </m:acc>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tanh</m:t>
          </m:r>
          <m:r>
            <w:rPr>
              <w:rFonts w:ascii="Cambria Math" w:eastAsia="Times New Roman" w:hAnsi="Cambria Math" w:cs="Times New Roman"/>
              <w:kern w:val="0"/>
              <w:lang w:eastAsia="en-GB"/>
              <w14:ligatures w14:val="none"/>
            </w:rPr>
            <m:t>⁡(0.2082)=0.205</m:t>
          </m:r>
          <m:r>
            <m:rPr>
              <m:sty m:val="p"/>
            </m:rPr>
            <w:rPr>
              <w:rFonts w:ascii="Cambria Math" w:eastAsia="Times New Roman" w:hAnsi="Cambria Math" w:cs="Times New Roman"/>
              <w:kern w:val="0"/>
              <w:lang w:eastAsia="en-GB"/>
              <w14:ligatures w14:val="none"/>
            </w:rPr>
            <w:br/>
          </m:r>
        </m:oMath>
      </m:oMathPara>
    </w:p>
    <w:p w14:paraId="22D56EAE"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b/>
          <w:bCs/>
          <w:color w:val="000000"/>
          <w:kern w:val="0"/>
          <w:lang w:eastAsia="en-GB"/>
          <w14:ligatures w14:val="none"/>
        </w:rPr>
        <w:t>Required sample size.</w:t>
      </w:r>
    </w:p>
    <w:p w14:paraId="7103D064" w14:textId="77777777" w:rsidR="00247F85" w:rsidRPr="00247F85" w:rsidRDefault="00247F85" w:rsidP="00247F85">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n=</m:t>
          </m:r>
          <m:sSup>
            <m:sSupPr>
              <m:ctrlPr>
                <w:rPr>
                  <w:rFonts w:ascii="Cambria Math" w:eastAsia="Times New Roman" w:hAnsi="Cambria Math" w:cs="Times New Roman"/>
                  <w:kern w:val="0"/>
                  <w:lang w:eastAsia="en-GB"/>
                  <w14:ligatures w14:val="none"/>
                </w:rPr>
              </m:ctrlPr>
            </m:sSupPr>
            <m:e>
              <m:d>
                <m:dPr>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1-α</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1-β</m:t>
                          </m:r>
                        </m:sub>
                      </m:sSub>
                    </m:num>
                    <m:den>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z</m:t>
                          </m:r>
                        </m:e>
                      </m:acc>
                    </m:den>
                  </m:f>
                </m:e>
              </m:d>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+3=</m:t>
          </m:r>
          <m:sSup>
            <m:sSupPr>
              <m:ctrlPr>
                <w:rPr>
                  <w:rFonts w:ascii="Cambria Math" w:eastAsia="Times New Roman" w:hAnsi="Cambria Math" w:cs="Times New Roman"/>
                  <w:kern w:val="0"/>
                  <w:lang w:eastAsia="en-GB"/>
                  <w14:ligatures w14:val="none"/>
                </w:rPr>
              </m:ctrlPr>
            </m:sSupPr>
            <m:e>
              <m:d>
                <m:dPr>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1.960+0.842</m:t>
                      </m:r>
                    </m:num>
                    <m:den>
                      <m:r>
                        <w:rPr>
                          <w:rFonts w:ascii="Cambria Math" w:eastAsia="Times New Roman" w:hAnsi="Cambria Math" w:cs="Times New Roman"/>
                          <w:kern w:val="0"/>
                          <w:lang w:eastAsia="en-GB"/>
                          <w14:ligatures w14:val="none"/>
                        </w:rPr>
                        <m:t>0.2082</m:t>
                      </m:r>
                    </m:den>
                  </m:f>
                </m:e>
              </m:d>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+3=</m:t>
          </m:r>
          <m:r>
            <m:rPr>
              <m:sty m:val="b"/>
            </m:rPr>
            <w:rPr>
              <w:rFonts w:ascii="Cambria Math" w:eastAsia="Times New Roman" w:hAnsi="Cambria Math" w:cs="Times New Roman"/>
              <w:kern w:val="0"/>
              <w:lang w:eastAsia="en-GB"/>
              <w14:ligatures w14:val="none"/>
            </w:rPr>
            <m:t>185</m:t>
          </m:r>
          <m:r>
            <m:rPr>
              <m:sty m:val="p"/>
            </m:rPr>
            <w:rPr>
              <w:rFonts w:ascii="Cambria Math" w:eastAsia="Times New Roman" w:hAnsi="Cambria Math" w:cs="Times New Roman"/>
              <w:kern w:val="0"/>
              <w:lang w:eastAsia="en-GB"/>
              <w14:ligatures w14:val="none"/>
            </w:rPr>
            <w:br/>
          </m:r>
        </m:oMath>
      </m:oMathPara>
    </w:p>
    <w:p w14:paraId="3A5E7B99" w14:textId="77777777"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b/>
          <w:bCs/>
          <w:color w:val="000000"/>
          <w:kern w:val="0"/>
          <w:lang w:eastAsia="en-GB"/>
          <w14:ligatures w14:val="none"/>
        </w:rPr>
        <w:t>Uncertainty.</w:t>
      </w:r>
      <w:r w:rsidRPr="00247F85">
        <w:rPr>
          <w:rFonts w:ascii="Times New Roman" w:eastAsia="Times New Roman" w:hAnsi="Times New Roman" w:cs="Times New Roman"/>
          <w:color w:val="000000"/>
          <w:kern w:val="0"/>
          <w:lang w:eastAsia="en-GB"/>
          <w14:ligatures w14:val="none"/>
        </w:rPr>
        <w:t> </w:t>
      </w:r>
      <m:oMath>
        <m:r>
          <w:rPr>
            <w:rFonts w:ascii="Cambria Math" w:eastAsia="Times New Roman" w:hAnsi="Cambria Math" w:cs="Times New Roman"/>
            <w:kern w:val="0"/>
            <w:lang w:eastAsia="en-GB"/>
            <w14:ligatures w14:val="none"/>
          </w:rPr>
          <m:t>SE(</m:t>
        </m:r>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z</m:t>
            </m:r>
          </m:e>
        </m:acc>
        <m:r>
          <w:rPr>
            <w:rFonts w:ascii="Cambria Math" w:eastAsia="Times New Roman" w:hAnsi="Cambria Math" w:cs="Times New Roman"/>
            <w:kern w:val="0"/>
            <w:lang w:eastAsia="en-GB"/>
            <w14:ligatures w14:val="none"/>
          </w:rPr>
          <m:t>)=</m:t>
        </m:r>
        <m:rad>
          <m:radPr>
            <m:degHide m:val="1"/>
            <m:ctrlPr>
              <w:rPr>
                <w:rFonts w:ascii="Cambria Math" w:eastAsia="Times New Roman" w:hAnsi="Cambria Math" w:cs="Times New Roman"/>
                <w:kern w:val="0"/>
                <w:lang w:eastAsia="en-GB"/>
                <w14:ligatures w14:val="none"/>
              </w:rPr>
            </m:ctrlPr>
          </m:radPr>
          <m:deg/>
          <m:e>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(129.2-3)</m:t>
            </m:r>
          </m:e>
        </m:rad>
        <m:r>
          <w:rPr>
            <w:rFonts w:ascii="Cambria Math" w:eastAsia="Times New Roman" w:hAnsi="Cambria Math" w:cs="Times New Roman"/>
            <w:kern w:val="0"/>
            <w:lang w:eastAsia="en-GB"/>
            <w14:ligatures w14:val="none"/>
          </w:rPr>
          <m:t>=0.089</m:t>
        </m:r>
      </m:oMath>
      <w:r w:rsidRPr="00247F85">
        <w:rPr>
          <w:rFonts w:ascii="Times New Roman" w:eastAsia="Times New Roman" w:hAnsi="Times New Roman" w:cs="Times New Roman"/>
          <w:color w:val="000000"/>
          <w:kern w:val="0"/>
          <w:lang w:eastAsia="en-GB"/>
          <w14:ligatures w14:val="none"/>
        </w:rPr>
        <w:t>, giving 95% CI of </w:t>
      </w:r>
      <m:oMath>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z</m:t>
            </m:r>
          </m:e>
        </m:acc>
        <m:r>
          <w:rPr>
            <w:rFonts w:ascii="Cambria Math" w:eastAsia="Times New Roman" w:hAnsi="Cambria Math" w:cs="Times New Roman"/>
            <w:kern w:val="0"/>
            <w:lang w:eastAsia="en-GB"/>
            <w14:ligatures w14:val="none"/>
          </w:rPr>
          <m:t>∈[0.034,0.383]</m:t>
        </m:r>
      </m:oMath>
      <w:r w:rsidRPr="00247F85">
        <w:rPr>
          <w:rFonts w:ascii="Times New Roman" w:eastAsia="Times New Roman" w:hAnsi="Times New Roman" w:cs="Times New Roman"/>
          <w:color w:val="000000"/>
          <w:kern w:val="0"/>
          <w:lang w:eastAsia="en-GB"/>
          <w14:ligatures w14:val="none"/>
        </w:rPr>
        <w:t> and:</w:t>
      </w:r>
    </w:p>
    <w:p w14:paraId="55B86C61" w14:textId="4B144186" w:rsidR="00247F85" w:rsidRPr="00247F85" w:rsidRDefault="00000000" w:rsidP="00247F85">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ll</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d>
                <m:dPr>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2.802</m:t>
                      </m:r>
                    </m:num>
                    <m:den>
                      <m:r>
                        <w:rPr>
                          <w:rFonts w:ascii="Cambria Math" w:eastAsia="Times New Roman" w:hAnsi="Cambria Math" w:cs="Times New Roman"/>
                          <w:kern w:val="0"/>
                          <w:lang w:eastAsia="en-GB"/>
                          <w14:ligatures w14:val="none"/>
                        </w:rPr>
                        <m:t>0.383</m:t>
                      </m:r>
                    </m:den>
                  </m:f>
                </m:e>
              </m:d>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 xml:space="preserve">+3=57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ul</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d>
                <m:dPr>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2.802</m:t>
                      </m:r>
                    </m:num>
                    <m:den>
                      <m:r>
                        <w:rPr>
                          <w:rFonts w:ascii="Cambria Math" w:eastAsia="Times New Roman" w:hAnsi="Cambria Math" w:cs="Times New Roman"/>
                          <w:kern w:val="0"/>
                          <w:lang w:eastAsia="en-GB"/>
                          <w14:ligatures w14:val="none"/>
                        </w:rPr>
                        <m:t>0.034</m:t>
                      </m:r>
                    </m:den>
                  </m:f>
                </m:e>
              </m:d>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+3=</m:t>
          </m:r>
          <m:r>
            <m:rPr>
              <m:sty m:val="p"/>
            </m:rPr>
            <w:rPr>
              <w:rFonts w:ascii="Cambria Math" w:eastAsia="Times New Roman" w:hAnsi="Cambria Math" w:cs="Times New Roman"/>
              <w:kern w:val="0"/>
              <w:lang w:eastAsia="en-GB"/>
              <w14:ligatures w14:val="none"/>
            </w:rPr>
            <m:t>6,906</m:t>
          </m:r>
          <m:r>
            <m:rPr>
              <m:sty m:val="p"/>
            </m:rPr>
            <w:rPr>
              <w:rFonts w:ascii="Cambria Math" w:eastAsia="Times New Roman" w:hAnsi="Cambria Math" w:cs="Times New Roman"/>
              <w:kern w:val="0"/>
              <w:lang w:eastAsia="en-GB"/>
              <w14:ligatures w14:val="none"/>
            </w:rPr>
            <w:br/>
          </m:r>
        </m:oMath>
      </m:oMathPara>
    </w:p>
    <w:p w14:paraId="1F22B03D" w14:textId="2C17106C"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color w:val="000000"/>
          <w:kern w:val="0"/>
          <w:lang w:eastAsia="en-GB"/>
          <w14:ligatures w14:val="none"/>
        </w:rPr>
        <w:t>The </w:t>
      </w:r>
      <w:r w:rsidRPr="00247F85">
        <w:rPr>
          <w:rFonts w:ascii="Times New Roman" w:eastAsia="Times New Roman" w:hAnsi="Times New Roman" w:cs="Times New Roman"/>
          <w:b/>
          <w:bCs/>
          <w:color w:val="000000"/>
          <w:kern w:val="0"/>
          <w:lang w:eastAsia="en-GB"/>
          <w14:ligatures w14:val="none"/>
        </w:rPr>
        <w:t>95% confidence range is [57, 6,</w:t>
      </w:r>
      <w:r w:rsidR="00C83E93">
        <w:rPr>
          <w:rFonts w:ascii="Times New Roman" w:eastAsia="Times New Roman" w:hAnsi="Times New Roman" w:cs="Times New Roman"/>
          <w:b/>
          <w:bCs/>
          <w:color w:val="000000"/>
          <w:kern w:val="0"/>
          <w:lang w:eastAsia="en-GB"/>
          <w14:ligatures w14:val="none"/>
        </w:rPr>
        <w:t>906</w:t>
      </w:r>
      <w:r w:rsidRPr="00247F85">
        <w:rPr>
          <w:rFonts w:ascii="Times New Roman" w:eastAsia="Times New Roman" w:hAnsi="Times New Roman" w:cs="Times New Roman"/>
          <w:b/>
          <w:bCs/>
          <w:color w:val="000000"/>
          <w:kern w:val="0"/>
          <w:lang w:eastAsia="en-GB"/>
          <w14:ligatures w14:val="none"/>
        </w:rPr>
        <w:t>]</w:t>
      </w:r>
      <w:r w:rsidRPr="00247F85">
        <w:rPr>
          <w:rFonts w:ascii="Times New Roman" w:eastAsia="Times New Roman" w:hAnsi="Times New Roman" w:cs="Times New Roman"/>
          <w:color w:val="000000"/>
          <w:kern w:val="0"/>
          <w:lang w:eastAsia="en-GB"/>
          <w14:ligatures w14:val="none"/>
        </w:rPr>
        <w:t>. The wide upper bound reflects uncertainty from two prior studies that are imperfect matches to our design</w:t>
      </w:r>
      <w:r>
        <w:rPr>
          <w:rFonts w:ascii="Times New Roman" w:eastAsia="Times New Roman" w:hAnsi="Times New Roman" w:cs="Times New Roman"/>
          <w:color w:val="000000"/>
          <w:kern w:val="0"/>
          <w:lang w:eastAsia="en-GB"/>
          <w14:ligatures w14:val="none"/>
        </w:rPr>
        <w:t>.</w:t>
      </w:r>
    </w:p>
    <w:p w14:paraId="10CFD653" w14:textId="0A50CB24" w:rsidR="00247F85" w:rsidRPr="00247F85" w:rsidRDefault="00247F85" w:rsidP="00247F8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47F85">
        <w:rPr>
          <w:rFonts w:ascii="Times New Roman" w:eastAsia="Times New Roman" w:hAnsi="Times New Roman" w:cs="Times New Roman"/>
          <w:b/>
          <w:bCs/>
          <w:color w:val="000000"/>
          <w:kern w:val="0"/>
          <w:lang w:eastAsia="en-GB"/>
          <w14:ligatures w14:val="none"/>
        </w:rPr>
        <w:t>Target.</w:t>
      </w:r>
      <w:r w:rsidRPr="00247F85">
        <w:rPr>
          <w:rFonts w:ascii="Times New Roman" w:eastAsia="Times New Roman" w:hAnsi="Times New Roman" w:cs="Times New Roman"/>
          <w:color w:val="000000"/>
          <w:kern w:val="0"/>
          <w:lang w:eastAsia="en-GB"/>
          <w14:ligatures w14:val="none"/>
        </w:rPr>
        <w:t> The point estimate of </w:t>
      </w:r>
      <m:oMath>
        <m:r>
          <w:rPr>
            <w:rFonts w:ascii="Cambria Math" w:eastAsia="Times New Roman" w:hAnsi="Cambria Math" w:cs="Times New Roman"/>
            <w:kern w:val="0"/>
            <w:lang w:eastAsia="en-GB"/>
            <w14:ligatures w14:val="none"/>
          </w:rPr>
          <m:t>n=185</m:t>
        </m:r>
      </m:oMath>
      <w:r w:rsidRPr="00247F85">
        <w:rPr>
          <w:rFonts w:ascii="Times New Roman" w:eastAsia="Times New Roman" w:hAnsi="Times New Roman" w:cs="Times New Roman"/>
          <w:color w:val="000000"/>
          <w:kern w:val="0"/>
          <w:lang w:eastAsia="en-GB"/>
          <w14:ligatures w14:val="none"/>
        </w:rPr>
        <w:t> is our primary evidence-based recommendation. We set a target of </w:t>
      </w:r>
      <m:oMath>
        <m:r>
          <m:rPr>
            <m:sty m:val="b"/>
          </m:rPr>
          <w:rPr>
            <w:rFonts w:ascii="Cambria Math" w:eastAsia="Times New Roman" w:hAnsi="Cambria Math" w:cs="Times New Roman"/>
            <w:kern w:val="0"/>
            <w:lang w:eastAsia="en-GB"/>
            <w14:ligatures w14:val="none"/>
          </w:rPr>
          <m:t>n</m:t>
        </m:r>
        <m:r>
          <w:rPr>
            <w:rFonts w:ascii="Cambria Math" w:eastAsia="Times New Roman" w:hAnsi="Cambria Math" w:cs="Times New Roman"/>
            <w:kern w:val="0"/>
            <w:lang w:eastAsia="en-GB"/>
            <w14:ligatures w14:val="none"/>
          </w:rPr>
          <m:t>=</m:t>
        </m:r>
        <m:r>
          <m:rPr>
            <m:sty m:val="b"/>
          </m:rPr>
          <w:rPr>
            <w:rFonts w:ascii="Cambria Math" w:eastAsia="Times New Roman" w:hAnsi="Cambria Math" w:cs="Times New Roman"/>
            <w:kern w:val="0"/>
            <w:lang w:eastAsia="en-GB"/>
            <w14:ligatures w14:val="none"/>
          </w:rPr>
          <m:t>200</m:t>
        </m:r>
      </m:oMath>
      <w:r w:rsidRPr="00247F85">
        <w:rPr>
          <w:rFonts w:ascii="Times New Roman" w:eastAsia="Times New Roman" w:hAnsi="Times New Roman" w:cs="Times New Roman"/>
          <w:color w:val="000000"/>
          <w:kern w:val="0"/>
          <w:lang w:eastAsia="en-GB"/>
          <w14:ligatures w14:val="none"/>
        </w:rPr>
        <w:t xml:space="preserve">, a prudent 8% buffer above the point estimate to guard against attrition, failed attention checks, and effect size uncertainty. </w:t>
      </w:r>
    </w:p>
    <w:p w14:paraId="31DC38C0" w14:textId="77777777" w:rsidR="00247F85" w:rsidRDefault="00247F85" w:rsidP="00247F85"/>
    <w:p w14:paraId="28EB7B3D" w14:textId="77777777" w:rsidR="00247F85" w:rsidRDefault="00247F85" w:rsidP="00247F85"/>
    <w:p w14:paraId="7D375787" w14:textId="77777777" w:rsidR="00247F85" w:rsidRDefault="00247F85" w:rsidP="00247F85"/>
    <w:p w14:paraId="7662E59E" w14:textId="77777777" w:rsidR="00247F85" w:rsidRDefault="00247F85" w:rsidP="00247F85"/>
    <w:p w14:paraId="143F5C3A" w14:textId="4F25C0D1" w:rsidR="00247F85" w:rsidRDefault="00247F85" w:rsidP="00247F85">
      <w:r>
        <w:lastRenderedPageBreak/>
        <w:t># Sample size estimation — samplewiser framework (base R)</w:t>
      </w:r>
    </w:p>
    <w:p w14:paraId="5DC1D57D" w14:textId="77777777" w:rsidR="00247F85" w:rsidRDefault="00247F85" w:rsidP="00247F85"/>
    <w:p w14:paraId="702813FE" w14:textId="77777777" w:rsidR="00247F85" w:rsidRDefault="00247F85" w:rsidP="00247F85">
      <w:r>
        <w:t># 1. Wansink (2005): d from Table 1 means and SDs</w:t>
      </w:r>
    </w:p>
    <w:p w14:paraId="4C93F394" w14:textId="77777777" w:rsidR="00247F85" w:rsidRDefault="00247F85" w:rsidP="00247F85">
      <w:r>
        <w:t>m1 &lt;- 6.66; sd1 &lt;- 1.59; n1 &lt;- 84</w:t>
      </w:r>
    </w:p>
    <w:p w14:paraId="62F45BCA" w14:textId="77777777" w:rsidR="00247F85" w:rsidRDefault="00247F85" w:rsidP="00247F85">
      <w:r>
        <w:t>m0 &lt;- 5.87; sd0 &lt;- 2.08; n0 &lt;- 56</w:t>
      </w:r>
    </w:p>
    <w:p w14:paraId="53724B38" w14:textId="77777777" w:rsidR="00247F85" w:rsidRDefault="00247F85" w:rsidP="00247F85">
      <w:r>
        <w:t>sp &lt;- sqrt(((n1-1)*sd1^2 + (n0-1)*sd0^2) / (n1+n0-2))  # slide 8</w:t>
      </w:r>
    </w:p>
    <w:p w14:paraId="62BC8054" w14:textId="77777777" w:rsidR="00247F85" w:rsidRDefault="00247F85" w:rsidP="00247F85">
      <w:r>
        <w:t>d1 &lt;- (m1 - m0) / sp                                     # slide 8</w:t>
      </w:r>
    </w:p>
    <w:p w14:paraId="74940050" w14:textId="77777777" w:rsidR="00247F85" w:rsidRDefault="00247F85" w:rsidP="00247F85">
      <w:r>
        <w:t>r1 &lt;- d1 / sqrt(d1^2 + 4)                               # slide 17</w:t>
      </w:r>
    </w:p>
    <w:p w14:paraId="6CDCE92E" w14:textId="77777777" w:rsidR="00247F85" w:rsidRDefault="00247F85" w:rsidP="00247F85">
      <w:r>
        <w:t>cat(sprintf("Wansink: sp=%.4f, d=%.4f, r=%.4f\n", sp, d1, r1))</w:t>
      </w:r>
    </w:p>
    <w:p w14:paraId="71EA8E1B" w14:textId="77777777" w:rsidR="00247F85" w:rsidRDefault="00247F85" w:rsidP="00247F85"/>
    <w:p w14:paraId="4E5AA083" w14:textId="77777777" w:rsidR="00247F85" w:rsidRDefault="00247F85" w:rsidP="00247F85">
      <w:r>
        <w:t># 2. Irmak (2011) Study 4: d from t-statistic</w:t>
      </w:r>
    </w:p>
    <w:p w14:paraId="05CCA16D" w14:textId="77777777" w:rsidR="00247F85" w:rsidRDefault="00247F85" w:rsidP="00247F85">
      <w:r>
        <w:t># (means/SDs not reported; paper uses regression with continuous moderator)</w:t>
      </w:r>
    </w:p>
    <w:p w14:paraId="1659924A" w14:textId="77777777" w:rsidR="00247F85" w:rsidRDefault="00247F85" w:rsidP="00247F85">
      <w:r>
        <w:t>t2 &lt;- 2.00; df2 &lt;- 134</w:t>
      </w:r>
    </w:p>
    <w:p w14:paraId="054DE37F" w14:textId="77777777" w:rsidR="00247F85" w:rsidRDefault="00247F85" w:rsidP="00247F85">
      <w:r>
        <w:t>d2 &lt;- (2 * t2) / sqrt(df2)   # equivalent to slide 8 formula via t</w:t>
      </w:r>
    </w:p>
    <w:p w14:paraId="181D44F9" w14:textId="77777777" w:rsidR="00247F85" w:rsidRDefault="00247F85" w:rsidP="00247F85">
      <w:r>
        <w:t>r2 &lt;- d2 / sqrt(d2^2 + 4)   # slide 17</w:t>
      </w:r>
    </w:p>
    <w:p w14:paraId="35EBC306" w14:textId="77777777" w:rsidR="00247F85" w:rsidRDefault="00247F85" w:rsidP="00247F85">
      <w:r>
        <w:t>cat(sprintf("Irmak:   d=%.4f, r=%.4f\n", d2, r2))</w:t>
      </w:r>
    </w:p>
    <w:p w14:paraId="30A58A5B" w14:textId="77777777" w:rsidR="00247F85" w:rsidRDefault="00247F85" w:rsidP="00247F85"/>
    <w:p w14:paraId="59B9A258" w14:textId="77777777" w:rsidR="00247F85" w:rsidRDefault="00247F85" w:rsidP="00247F85">
      <w:r>
        <w:t># 3. Expert weights</w:t>
      </w:r>
    </w:p>
    <w:p w14:paraId="4195E947" w14:textId="77777777" w:rsidR="00247F85" w:rsidRDefault="00247F85" w:rsidP="00247F85">
      <w:r>
        <w:t>e1 &lt;- 0.75   # high context/outcome match, partial population/label mismatch</w:t>
      </w:r>
    </w:p>
    <w:p w14:paraId="2F23246E" w14:textId="77777777" w:rsidR="00247F85" w:rsidRDefault="00247F85" w:rsidP="00247F85">
      <w:r>
        <w:t>e2 &lt;- 0.20   # same core mechanism, different manipulation/outcome/context</w:t>
      </w:r>
    </w:p>
    <w:p w14:paraId="72396F6B" w14:textId="77777777" w:rsidR="00247F85" w:rsidRDefault="00247F85" w:rsidP="00247F85">
      <w:r>
        <w:t>w1 &lt;- e1 * (140 - 3)</w:t>
      </w:r>
    </w:p>
    <w:p w14:paraId="20744573" w14:textId="77777777" w:rsidR="00247F85" w:rsidRDefault="00247F85" w:rsidP="00247F85">
      <w:r>
        <w:t>w2 &lt;- e2 * (135 - 3)</w:t>
      </w:r>
    </w:p>
    <w:p w14:paraId="2798FDB5" w14:textId="77777777" w:rsidR="00247F85" w:rsidRDefault="00247F85" w:rsidP="00247F85"/>
    <w:p w14:paraId="3349D3AF" w14:textId="77777777" w:rsidR="00247F85" w:rsidRDefault="00247F85" w:rsidP="00247F85">
      <w:r>
        <w:t># 4. Fisher z and weighted synthesis — slide 17</w:t>
      </w:r>
    </w:p>
    <w:p w14:paraId="324AACA1" w14:textId="77777777" w:rsidR="00247F85" w:rsidRDefault="00247F85" w:rsidP="00247F85">
      <w:r>
        <w:t>z1 &lt;- atanh(r1); z2 &lt;- atanh(r2)</w:t>
      </w:r>
    </w:p>
    <w:p w14:paraId="75CD5DF9" w14:textId="77777777" w:rsidR="00247F85" w:rsidRDefault="00247F85" w:rsidP="00247F85">
      <w:r>
        <w:t>z_bar &lt;- (w1*z1 + w2*z2) / (w1 + w2)</w:t>
      </w:r>
    </w:p>
    <w:p w14:paraId="629B1037" w14:textId="77777777" w:rsidR="00247F85" w:rsidRDefault="00247F85" w:rsidP="00247F85">
      <w:r>
        <w:t>r_bar &lt;- tanh(z_bar)</w:t>
      </w:r>
    </w:p>
    <w:p w14:paraId="71CA0A6F" w14:textId="77777777" w:rsidR="00247F85" w:rsidRDefault="00247F85" w:rsidP="00247F85">
      <w:r>
        <w:t>cat(sprintf("z_bar=%.4f, r_bar=%.4f\n", z_bar, r_bar))</w:t>
      </w:r>
    </w:p>
    <w:p w14:paraId="6EFF3936" w14:textId="77777777" w:rsidR="00247F85" w:rsidRDefault="00247F85" w:rsidP="00247F85"/>
    <w:p w14:paraId="5042B43E" w14:textId="77777777" w:rsidR="00247F85" w:rsidRDefault="00247F85" w:rsidP="00247F85">
      <w:r>
        <w:t># 5. Required n — slide 9</w:t>
      </w:r>
    </w:p>
    <w:p w14:paraId="2A099075" w14:textId="77777777" w:rsidR="00247F85" w:rsidRDefault="00247F85" w:rsidP="00247F85">
      <w:r>
        <w:t>Z_alpha &lt;- 1.960; Z_beta &lt;- 0.842</w:t>
      </w:r>
    </w:p>
    <w:p w14:paraId="4BF79B7D" w14:textId="77777777" w:rsidR="00247F85" w:rsidRDefault="00247F85" w:rsidP="00247F85">
      <w:r>
        <w:t>n_req &lt;- ceiling(((Z_alpha + Z_beta) / z_bar)^2 + 3)</w:t>
      </w:r>
    </w:p>
    <w:p w14:paraId="7514F315" w14:textId="77777777" w:rsidR="00247F85" w:rsidRDefault="00247F85" w:rsidP="00247F85">
      <w:r>
        <w:t>cat(sprintf("Required n = %d\n", n_req))</w:t>
      </w:r>
    </w:p>
    <w:p w14:paraId="3FBE6351" w14:textId="77777777" w:rsidR="00247F85" w:rsidRDefault="00247F85" w:rsidP="00247F85"/>
    <w:p w14:paraId="05F4E97B" w14:textId="77777777" w:rsidR="00247F85" w:rsidRDefault="00247F85" w:rsidP="00247F85">
      <w:r>
        <w:t># 6. 95% confidence range — slide 25</w:t>
      </w:r>
    </w:p>
    <w:p w14:paraId="1FADB900" w14:textId="77777777" w:rsidR="00247F85" w:rsidRDefault="00247F85" w:rsidP="00247F85">
      <w:r>
        <w:t>SE_z    &lt;- sqrt(1 / (w1 + w2 - 3))</w:t>
      </w:r>
    </w:p>
    <w:p w14:paraId="669EFA02" w14:textId="77777777" w:rsidR="00247F85" w:rsidRDefault="00247F85" w:rsidP="00247F85">
      <w:r>
        <w:t>n_ci_lo &lt;- ceiling(((Z_alpha+Z_beta) / (z_bar+1.96*SE_z))^2 + 3)</w:t>
      </w:r>
    </w:p>
    <w:p w14:paraId="7BEA03BA" w14:textId="77777777" w:rsidR="00247F85" w:rsidRDefault="00247F85" w:rsidP="00247F85">
      <w:r>
        <w:t>n_ci_hi &lt;- ceiling(((Z_alpha+Z_beta) / (z_bar-1.96*SE_z))^2 + 3)</w:t>
      </w:r>
    </w:p>
    <w:p w14:paraId="5B9DF114" w14:textId="77777777" w:rsidR="00247F85" w:rsidRDefault="00247F85" w:rsidP="00247F85">
      <w:r>
        <w:t>cat(sprintf("95%% CI of n = [%d, %d]\n", n_ci_lo, n_ci_hi))</w:t>
      </w:r>
    </w:p>
    <w:p w14:paraId="55366581" w14:textId="77777777" w:rsidR="00247F85" w:rsidRDefault="00247F85" w:rsidP="00247F85"/>
    <w:p w14:paraId="22E0EC84" w14:textId="77777777" w:rsidR="00247F85" w:rsidRDefault="00247F85" w:rsidP="00247F85">
      <w:r>
        <w:t># Summary</w:t>
      </w:r>
    </w:p>
    <w:p w14:paraId="29DE57F3" w14:textId="77777777" w:rsidR="00247F85" w:rsidRDefault="00247F85" w:rsidP="00247F85">
      <w:r>
        <w:t>cat(sprintf("\nSUMMARY: r_bar=%.3f | n=%d | 95%% CI=[%d,%d] | target=200\n",</w:t>
      </w:r>
    </w:p>
    <w:p w14:paraId="7DEDC998" w14:textId="51E0D081" w:rsidR="00034033" w:rsidRDefault="00247F85" w:rsidP="00247F85">
      <w:r>
        <w:t xml:space="preserve">            r_bar, n_req, n_ci_lo, n_ci_hi))</w:t>
      </w:r>
    </w:p>
    <w:sectPr w:rsidR="00034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85"/>
    <w:rsid w:val="00034033"/>
    <w:rsid w:val="000C5542"/>
    <w:rsid w:val="00247F85"/>
    <w:rsid w:val="00263E95"/>
    <w:rsid w:val="006C0665"/>
    <w:rsid w:val="009C1A0A"/>
    <w:rsid w:val="00C83E93"/>
    <w:rsid w:val="00CE2176"/>
    <w:rsid w:val="00E85F77"/>
    <w:rsid w:val="00FE5CF9"/>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0D94F53C"/>
  <w15:chartTrackingRefBased/>
  <w15:docId w15:val="{86A4C0D8-1335-8741-89AD-F497321A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F85"/>
    <w:rPr>
      <w:rFonts w:eastAsiaTheme="majorEastAsia" w:cstheme="majorBidi"/>
      <w:color w:val="272727" w:themeColor="text1" w:themeTint="D8"/>
    </w:rPr>
  </w:style>
  <w:style w:type="paragraph" w:styleId="Title">
    <w:name w:val="Title"/>
    <w:basedOn w:val="Normal"/>
    <w:next w:val="Normal"/>
    <w:link w:val="TitleChar"/>
    <w:uiPriority w:val="10"/>
    <w:qFormat/>
    <w:rsid w:val="0024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F85"/>
    <w:pPr>
      <w:spacing w:before="160"/>
      <w:jc w:val="center"/>
    </w:pPr>
    <w:rPr>
      <w:i/>
      <w:iCs/>
      <w:color w:val="404040" w:themeColor="text1" w:themeTint="BF"/>
    </w:rPr>
  </w:style>
  <w:style w:type="character" w:customStyle="1" w:styleId="QuoteChar">
    <w:name w:val="Quote Char"/>
    <w:basedOn w:val="DefaultParagraphFont"/>
    <w:link w:val="Quote"/>
    <w:uiPriority w:val="29"/>
    <w:rsid w:val="00247F85"/>
    <w:rPr>
      <w:i/>
      <w:iCs/>
      <w:color w:val="404040" w:themeColor="text1" w:themeTint="BF"/>
    </w:rPr>
  </w:style>
  <w:style w:type="paragraph" w:styleId="ListParagraph">
    <w:name w:val="List Paragraph"/>
    <w:basedOn w:val="Normal"/>
    <w:uiPriority w:val="34"/>
    <w:qFormat/>
    <w:rsid w:val="00247F85"/>
    <w:pPr>
      <w:ind w:left="720"/>
      <w:contextualSpacing/>
    </w:pPr>
  </w:style>
  <w:style w:type="character" w:styleId="IntenseEmphasis">
    <w:name w:val="Intense Emphasis"/>
    <w:basedOn w:val="DefaultParagraphFont"/>
    <w:uiPriority w:val="21"/>
    <w:qFormat/>
    <w:rsid w:val="00247F85"/>
    <w:rPr>
      <w:i/>
      <w:iCs/>
      <w:color w:val="0F4761" w:themeColor="accent1" w:themeShade="BF"/>
    </w:rPr>
  </w:style>
  <w:style w:type="paragraph" w:styleId="IntenseQuote">
    <w:name w:val="Intense Quote"/>
    <w:basedOn w:val="Normal"/>
    <w:next w:val="Normal"/>
    <w:link w:val="IntenseQuoteChar"/>
    <w:uiPriority w:val="30"/>
    <w:qFormat/>
    <w:rsid w:val="00247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F85"/>
    <w:rPr>
      <w:i/>
      <w:iCs/>
      <w:color w:val="0F4761" w:themeColor="accent1" w:themeShade="BF"/>
    </w:rPr>
  </w:style>
  <w:style w:type="character" w:styleId="IntenseReference">
    <w:name w:val="Intense Reference"/>
    <w:basedOn w:val="DefaultParagraphFont"/>
    <w:uiPriority w:val="32"/>
    <w:qFormat/>
    <w:rsid w:val="00247F85"/>
    <w:rPr>
      <w:b/>
      <w:bCs/>
      <w:smallCaps/>
      <w:color w:val="0F4761" w:themeColor="accent1" w:themeShade="BF"/>
      <w:spacing w:val="5"/>
    </w:rPr>
  </w:style>
  <w:style w:type="paragraph" w:customStyle="1" w:styleId="font-claude-response-body">
    <w:name w:val="font-claude-response-body"/>
    <w:basedOn w:val="Normal"/>
    <w:rsid w:val="00247F8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47F85"/>
  </w:style>
  <w:style w:type="character" w:styleId="Strong">
    <w:name w:val="Strong"/>
    <w:basedOn w:val="DefaultParagraphFont"/>
    <w:uiPriority w:val="22"/>
    <w:qFormat/>
    <w:rsid w:val="00247F85"/>
    <w:rPr>
      <w:b/>
      <w:bCs/>
    </w:rPr>
  </w:style>
  <w:style w:type="character" w:styleId="Hyperlink">
    <w:name w:val="Hyperlink"/>
    <w:basedOn w:val="DefaultParagraphFont"/>
    <w:uiPriority w:val="99"/>
    <w:unhideWhenUsed/>
    <w:rsid w:val="006C0665"/>
    <w:rPr>
      <w:color w:val="467886" w:themeColor="hyperlink"/>
      <w:u w:val="single"/>
    </w:rPr>
  </w:style>
  <w:style w:type="character" w:styleId="UnresolvedMention">
    <w:name w:val="Unresolved Mention"/>
    <w:basedOn w:val="DefaultParagraphFont"/>
    <w:uiPriority w:val="99"/>
    <w:semiHidden/>
    <w:unhideWhenUsed/>
    <w:rsid w:val="006C0665"/>
    <w:rPr>
      <w:color w:val="605E5C"/>
      <w:shd w:val="clear" w:color="auto" w:fill="E1DFDD"/>
    </w:rPr>
  </w:style>
  <w:style w:type="character" w:styleId="FollowedHyperlink">
    <w:name w:val="FollowedHyperlink"/>
    <w:basedOn w:val="DefaultParagraphFont"/>
    <w:uiPriority w:val="99"/>
    <w:semiHidden/>
    <w:unhideWhenUsed/>
    <w:rsid w:val="006C06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jstor.org/stable/pdf/10.1086/660044.pdf?refreqid=fastly-default%3Abb20254052e3377d1bcbc7b7f35f924c&amp;ab_segments=&amp;initiator=&amp;acceptTC=1" TargetMode="External"/><Relationship Id="rId4" Type="http://schemas.openxmlformats.org/officeDocument/2006/relationships/hyperlink" Target="https://www.sciencedirect.com/science/article/pii/S0950329304000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Gaio Silva Sousa Ferreira</dc:creator>
  <cp:keywords/>
  <dc:description/>
  <cp:lastModifiedBy>Tiago Gaio Silva Sousa Ferreira</cp:lastModifiedBy>
  <cp:revision>4</cp:revision>
  <dcterms:created xsi:type="dcterms:W3CDTF">2026-04-29T11:04:00Z</dcterms:created>
  <dcterms:modified xsi:type="dcterms:W3CDTF">2026-04-29T15:34:00Z</dcterms:modified>
</cp:coreProperties>
</file>