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rPr>
          <w:rFonts w:hint="eastAsia"/>
        </w:rPr>
        <w:t xml:space="preserve">中国新型储能行业专家学习报告</w:t>
      </w:r>
    </w:p>
    <w:bookmarkStart w:id="57" w:name="top"/>
    <w:p>
      <w:pPr>
        <w:pStyle w:val="Heading1"/>
      </w:pPr>
      <w:r>
        <w:rPr>
          <w:rFonts w:hint="eastAsia"/>
        </w:rPr>
        <w:t xml:space="preserve">中国新型储能行业专家学习报告</w:t>
      </w:r>
    </w:p>
    <w:p>
      <w:pPr>
        <w:pStyle w:val="BlockText"/>
      </w:pPr>
      <w:r>
        <w:rPr>
          <w:rFonts w:hint="eastAsia"/>
        </w:rPr>
        <w:t xml:space="preserve">示例说明：这是一份用于展示</w:t>
      </w:r>
      <w:r>
        <w:t xml:space="preserve"> </w:t>
      </w:r>
      <w:r>
        <w:rPr>
          <w:rStyle w:val="VerbatimChar"/>
        </w:rPr>
        <w:t xml:space="preserve">yao-expert-skill</w:t>
      </w:r>
      <w:r>
        <w:t xml:space="preserve"> </w:t>
      </w:r>
      <w:r>
        <w:rPr>
          <w:rFonts w:hint="eastAsia"/>
        </w:rPr>
        <w:t xml:space="preserve">输出形态的精简版样例。正式标准版会把关键词扩展到</w:t>
      </w:r>
      <w:r>
        <w:t xml:space="preserve"> 50-80 </w:t>
      </w:r>
      <w:r>
        <w:rPr>
          <w:rFonts w:hint="eastAsia"/>
        </w:rPr>
        <w:t xml:space="preserve">个，并按用户目的补充更多公司、人物、机构、案例、数据和来源。</w:t>
      </w:r>
    </w:p>
    <w:bookmarkStart w:id="13" w:name="section-01"/>
    <w:p>
      <w:pPr>
        <w:pStyle w:val="Heading2"/>
      </w:pPr>
      <w:r>
        <w:rPr>
          <w:rFonts w:hint="eastAsia"/>
        </w:rPr>
        <w:t xml:space="preserve">导读摘要</w:t>
      </w:r>
    </w:p>
    <w:bookmarkStart w:id="9" w:name="section-02"/>
    <w:p>
      <w:pPr>
        <w:pStyle w:val="Heading3"/>
      </w:pPr>
      <w:r>
        <w:rPr>
          <w:rFonts w:hint="eastAsia"/>
        </w:rPr>
        <w:t xml:space="preserve">这份学习材料解决什么问题</w:t>
      </w:r>
    </w:p>
    <w:p>
      <w:pPr>
        <w:pStyle w:val="FirstParagraph"/>
      </w:pPr>
      <w:r>
        <w:rPr>
          <w:rFonts w:hint="eastAsia"/>
        </w:rPr>
        <w:t xml:space="preserve">这份材料是给第一次系统接触新型储能的人看的。它不假设你已经懂电力系统、锂电池或电力市场，而是先用相对直白的语言说明：储能到底在解决什么问题、行业里有哪些角色、为什么装机规模很重要但又不能只看装机。</w:t>
      </w:r>
    </w:p>
    <w:p>
      <w:pPr>
        <w:pStyle w:val="BodyText"/>
      </w:pPr>
      <w:r>
        <w:rPr>
          <w:rFonts w:hint="eastAsia"/>
        </w:rPr>
        <w:t xml:space="preserve">读完这份报告，你应该能完成三件事：第一，用几句话向外行解释新型储能为什么存在；第二，看懂电芯、PCS、EMS、独立储能、等效利用小时这些关键词之间的关系；第三，知道继续判断这个行业时应该去验证哪些数据和真实案例。</w:t>
      </w:r>
    </w:p>
    <w:bookmarkEnd w:id="9"/>
    <w:bookmarkStart w:id="10" w:name="section-03"/>
    <w:p>
      <w:pPr>
        <w:pStyle w:val="Heading3"/>
      </w:pPr>
      <w:r>
        <w:rPr>
          <w:rFonts w:hint="eastAsia"/>
        </w:rPr>
        <w:t xml:space="preserve">本报告的三个亮点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它先定边界，再看结构，避免把动力电池、抽水蓄能、户外电源和电网侧储能混在一起。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它把关键词做成教学卡，每个词都给出通俗理解、概念阐述、底层逻辑、真实例子和应用场景。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它最后用费曼问题做自测，帮助你判断自己是真的理解了行业，还是只是记住了一批术语。</w:t>
      </w:r>
    </w:p>
    <w:bookmarkEnd w:id="10"/>
    <w:bookmarkStart w:id="11" w:name="section-04"/>
    <w:p>
      <w:pPr>
        <w:pStyle w:val="Heading3"/>
      </w:pPr>
      <w:r>
        <w:rPr>
          <w:rFonts w:hint="eastAsia"/>
        </w:rPr>
        <w:t xml:space="preserve">推荐阅读路径</w:t>
      </w:r>
    </w:p>
    <w:p>
      <w:pPr>
        <w:pStyle w:val="FirstParagraph"/>
      </w:pPr>
      <w:r>
        <w:rPr>
          <w:rFonts w:hint="eastAsia"/>
        </w:rPr>
        <w:t xml:space="preserve">如果你是完全陌生的新手，建议先读“默认假设与研究边界”和“一页专家速览”，先把行业大图放进脑子里。然后读“价值链”和“关键词库”，理解这个行业的语言和角色。如果你是创业、产品或销售视角，可以重点看“竞争结构”“代表锚点”和“机会风险”；如果你要带团队学习，可以直接把“专家学习教程”和“费曼自测”作为内部训练材料。</w:t>
      </w:r>
    </w:p>
    <w:bookmarkEnd w:id="11"/>
    <w:bookmarkStart w:id="12" w:name="section-05"/>
    <w:p>
      <w:pPr>
        <w:pStyle w:val="Heading3"/>
      </w:pPr>
      <w:r>
        <w:rPr>
          <w:rFonts w:hint="eastAsia"/>
        </w:rPr>
        <w:t xml:space="preserve">底层逻辑说明</w:t>
      </w:r>
    </w:p>
    <w:p>
      <w:pPr>
        <w:pStyle w:val="FirstParagraph"/>
      </w:pPr>
      <w:r>
        <w:rPr>
          <w:rFonts w:hint="eastAsia"/>
        </w:rPr>
        <w:t xml:space="preserve">这份报告按“边界</w:t>
      </w:r>
      <w:r>
        <w:t xml:space="preserve"> -&gt; </w:t>
      </w:r>
      <w:r>
        <w:rPr>
          <w:rFonts w:hint="eastAsia"/>
        </w:rPr>
        <w:t xml:space="preserve">结构</w:t>
      </w:r>
      <w:r>
        <w:t xml:space="preserve"> -&gt; </w:t>
      </w:r>
      <w:r>
        <w:rPr>
          <w:rFonts w:hint="eastAsia"/>
        </w:rPr>
        <w:t xml:space="preserve">动态</w:t>
      </w:r>
      <w:r>
        <w:t xml:space="preserve"> -&gt; </w:t>
      </w:r>
      <w:r>
        <w:rPr>
          <w:rFonts w:hint="eastAsia"/>
        </w:rPr>
        <w:t xml:space="preserve">例子</w:t>
      </w:r>
      <w:r>
        <w:t xml:space="preserve"> -&gt; </w:t>
      </w:r>
      <w:r>
        <w:rPr>
          <w:rFonts w:hint="eastAsia"/>
        </w:rPr>
        <w:t xml:space="preserve">自测”的顺序展开。先定边界，是为了避免研究对象混乱；再看分类和价值链，是为了知道行业由哪些角色组成；接着看市场状态、生命周期和竞争，是为了理解行业为什么正在变化；最后用公司、人物、关键词、教程和自测，把抽象概念转成新人能复述、能讨论、能继续验证的知识。</w:t>
      </w:r>
    </w:p>
    <w:bookmarkEnd w:id="12"/>
    <w:bookmarkEnd w:id="13"/>
    <w:bookmarkStart w:id="14" w:name="section-06"/>
    <w:p>
      <w:pPr>
        <w:pStyle w:val="Heading2"/>
      </w:pPr>
      <w:r>
        <w:t xml:space="preserve">0. </w:t>
      </w:r>
      <w:r>
        <w:rPr>
          <w:rFonts w:hint="eastAsia"/>
        </w:rPr>
        <w:t xml:space="preserve">默认假设与研究边界</w:t>
      </w:r>
    </w:p>
    <w:p>
      <w:pPr>
        <w:pStyle w:val="FirstParagraph"/>
      </w:pPr>
      <w:r>
        <w:rPr>
          <w:rFonts w:hint="eastAsia"/>
        </w:rPr>
        <w:t xml:space="preserve">先说明这份报告默认站在哪个口径上。新型储能这个词本身就容易和动力电池、抽水蓄能、户外电源混用，所以在正式分析之前，需要先把地域、用途、时间范围和排除项讲清楚。这样后面的数据、公司和案例才不会被错误放在一起比较。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909"/>
        <w:gridCol w:w="3273"/>
        <w:gridCol w:w="4818"/>
      </w:tblGrid>
      <w:tr>
        <w:trPr>
          <w:tblHeader w:val="on"/>
          <w:cantSplit w:val="0"/>
        </w:trPr>
        <w:tc>
          <w:tcPr>
            <w:tcW w:type="dxa" w:w="19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当前设定</w:t>
            </w:r>
          </w:p>
        </w:tc>
        <w:tc>
          <w:tcPr>
            <w:tcW w:type="dxa" w:w="48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说明</w:t>
            </w:r>
          </w:p>
        </w:tc>
      </w:tr>
      <w:tr>
        <w:trPr>
          <w:cantSplit w:val="0"/>
        </w:trPr>
        <w:tc>
          <w:tcPr>
            <w:tcW w:type="dxa" w:w="19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主题</w:t>
            </w:r>
          </w:p>
        </w:tc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中国新型储能行业</w:t>
            </w:r>
          </w:p>
        </w:tc>
        <w:tc>
          <w:tcPr>
            <w:tcW w:type="dxa" w:w="48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以电力系统侧新型储能为主</w:t>
            </w:r>
          </w:p>
        </w:tc>
      </w:tr>
      <w:tr>
        <w:trPr>
          <w:cantSplit w:val="0"/>
        </w:trPr>
        <w:tc>
          <w:tcPr>
            <w:tcW w:type="dxa" w:w="19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地域</w:t>
            </w:r>
          </w:p>
        </w:tc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</w:t>
            </w:r>
          </w:p>
        </w:tc>
        <w:tc>
          <w:tcPr>
            <w:tcW w:type="dxa" w:w="48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政策、市场机制和电网场景以中国为口径</w:t>
            </w:r>
          </w:p>
        </w:tc>
      </w:tr>
      <w:tr>
        <w:trPr>
          <w:cantSplit w:val="0"/>
        </w:trPr>
        <w:tc>
          <w:tcPr>
            <w:tcW w:type="dxa" w:w="19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用途</w:t>
            </w:r>
          </w:p>
        </w:tc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快速建立专家认知</w:t>
            </w:r>
          </w:p>
        </w:tc>
        <w:tc>
          <w:tcPr>
            <w:tcW w:type="dxa" w:w="48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适合团队新人、创业预研、产品和销售理解</w:t>
            </w:r>
          </w:p>
        </w:tc>
      </w:tr>
      <w:tr>
        <w:trPr>
          <w:cantSplit w:val="0"/>
        </w:trPr>
        <w:tc>
          <w:tcPr>
            <w:tcW w:type="dxa" w:w="19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时间范围</w:t>
            </w:r>
          </w:p>
        </w:tc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当前到未来3年</w:t>
            </w:r>
          </w:p>
        </w:tc>
        <w:tc>
          <w:tcPr>
            <w:tcW w:type="dxa" w:w="48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覆盖</w:t>
            </w:r>
            <w:r>
              <w:t xml:space="preserve"> 2025-2027 </w:t>
            </w:r>
            <w:r>
              <w:rPr>
                <w:rFonts w:hint="eastAsia"/>
              </w:rPr>
              <w:t xml:space="preserve">政策窗口</w:t>
            </w:r>
          </w:p>
        </w:tc>
      </w:tr>
      <w:tr>
        <w:trPr>
          <w:cantSplit w:val="0"/>
        </w:trPr>
        <w:tc>
          <w:tcPr>
            <w:tcW w:type="dxa" w:w="19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示例精简版</w:t>
            </w:r>
          </w:p>
        </w:tc>
        <w:tc>
          <w:tcPr>
            <w:tcW w:type="dxa" w:w="48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仅展示结构，不追求完整行业穷尽</w:t>
            </w:r>
          </w:p>
        </w:tc>
      </w:tr>
      <w:tr>
        <w:trPr>
          <w:cantSplit w:val="0"/>
        </w:trPr>
        <w:tc>
          <w:tcPr>
            <w:tcW w:type="dxa" w:w="19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排除项</w:t>
            </w:r>
          </w:p>
        </w:tc>
        <w:tc>
          <w:tcPr>
            <w:tcW w:type="dxa" w:w="3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抽水蓄能深度研究、海外市场、单家公司财务模型</w:t>
            </w:r>
          </w:p>
        </w:tc>
        <w:tc>
          <w:tcPr>
            <w:tcW w:type="dxa" w:w="481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避免范围漂移</w:t>
            </w:r>
          </w:p>
        </w:tc>
      </w:tr>
    </w:tbl>
    <w:bookmarkEnd w:id="14"/>
    <w:bookmarkStart w:id="18" w:name="section-07"/>
    <w:p>
      <w:pPr>
        <w:pStyle w:val="Heading2"/>
      </w:pPr>
      <w:r>
        <w:t xml:space="preserve">1. </w:t>
      </w:r>
      <w:r>
        <w:rPr>
          <w:rFonts w:hint="eastAsia"/>
        </w:rPr>
        <w:t xml:space="preserve">一页专家速览</w:t>
      </w:r>
    </w:p>
    <w:p>
      <w:pPr>
        <w:pStyle w:val="FirstParagraph"/>
      </w:pPr>
      <w:r>
        <w:rPr>
          <w:rFonts w:hint="eastAsia"/>
        </w:rPr>
        <w:t xml:space="preserve">这一节是整份报告的压缩版。你可以先把它当作行业地图：知道一句话定义、几个核心事实和几个关键判断之后，再进入后面的边界、价值链和关键词学习，会更容易把信息串起来。</w:t>
      </w:r>
    </w:p>
    <w:bookmarkStart w:id="15" w:name="section-08"/>
    <w:p>
      <w:pPr>
        <w:pStyle w:val="Heading3"/>
      </w:pP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rFonts w:hint="eastAsia"/>
        </w:rPr>
        <w:t xml:space="preserve">新型储能是除传统抽水蓄能以外、帮助电力系统在“电多时存起来、电少时放出来”的一组技术和商业安排，核心价值是让新能源、电网调节和电力保供更稳定。</w:t>
      </w:r>
    </w:p>
    <w:bookmarkEnd w:id="15"/>
    <w:bookmarkStart w:id="16" w:name="section-09"/>
    <w:p>
      <w:pPr>
        <w:pStyle w:val="Heading3"/>
      </w:pPr>
      <w:r>
        <w:rPr>
          <w:rFonts w:hint="eastAsia"/>
        </w:rPr>
        <w:t xml:space="preserve">五个核心事实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fact</w:t>
      </w:r>
      <w:r>
        <w:rPr>
          <w:rFonts w:hint="eastAsia"/>
        </w:rPr>
        <w:t xml:space="preserve">：国家能源局口径下，新型储能不包含传统抽水蓄能，典型作用是在新能源大发或低负荷时充电，在需要时放电。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fact</w:t>
      </w:r>
      <w:r>
        <w:rPr>
          <w:rFonts w:hint="eastAsia"/>
        </w:rPr>
        <w:t xml:space="preserve">：截至</w:t>
      </w:r>
      <w:r>
        <w:t xml:space="preserve"> 2025 </w:t>
      </w:r>
      <w:r>
        <w:rPr>
          <w:rFonts w:hint="eastAsia"/>
        </w:rPr>
        <w:t xml:space="preserve">年底，全国已建成投运新型储能装机规模达到</w:t>
      </w:r>
      <w:r>
        <w:t xml:space="preserve"> 1.36 </w:t>
      </w:r>
      <w:r>
        <w:rPr>
          <w:rFonts w:hint="eastAsia"/>
        </w:rPr>
        <w:t xml:space="preserve">亿千瓦</w:t>
      </w:r>
      <w:r>
        <w:t xml:space="preserve"> / 3.51 </w:t>
      </w:r>
      <w:r>
        <w:rPr>
          <w:rFonts w:hint="eastAsia"/>
        </w:rPr>
        <w:t xml:space="preserve">亿千瓦时，较</w:t>
      </w:r>
      <w:r>
        <w:t xml:space="preserve"> 2024 </w:t>
      </w:r>
      <w:r>
        <w:rPr>
          <w:rFonts w:hint="eastAsia"/>
        </w:rPr>
        <w:t xml:space="preserve">年底增长</w:t>
      </w:r>
      <w:r>
        <w:t xml:space="preserve"> </w:t>
      </w:r>
      <w:r>
        <w:rPr>
          <w:rFonts w:hint="eastAsia"/>
        </w:rPr>
        <w:t xml:space="preserve">84%，平均储能时长</w:t>
      </w:r>
      <w:r>
        <w:t xml:space="preserve"> 2.58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fact</w:t>
      </w:r>
      <w:r>
        <w:rPr>
          <w:rFonts w:hint="eastAsia"/>
        </w:rPr>
        <w:t xml:space="preserve">：截至</w:t>
      </w:r>
      <w:r>
        <w:t xml:space="preserve"> 2025 </w:t>
      </w:r>
      <w:r>
        <w:rPr>
          <w:rFonts w:hint="eastAsia"/>
        </w:rPr>
        <w:t xml:space="preserve">年底，锂离子电池储能仍占主导，装机占比为</w:t>
      </w:r>
      <w:r>
        <w:t xml:space="preserve"> </w:t>
      </w:r>
      <w:r>
        <w:rPr>
          <w:rFonts w:hint="eastAsia"/>
        </w:rPr>
        <w:t xml:space="preserve">96.1%；压缩空气、液流电池、飞轮等路线合计占比</w:t>
      </w:r>
      <w:r>
        <w:t xml:space="preserve"> 3.9%。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fact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年独立储能新增装机</w:t>
      </w:r>
      <w:r>
        <w:t xml:space="preserve"> 3543 </w:t>
      </w:r>
      <w:r>
        <w:rPr>
          <w:rFonts w:hint="eastAsia"/>
        </w:rPr>
        <w:t xml:space="preserve">万千瓦，累计装机占比为</w:t>
      </w:r>
      <w:r>
        <w:t xml:space="preserve"> </w:t>
      </w:r>
      <w:r>
        <w:rPr>
          <w:rFonts w:hint="eastAsia"/>
        </w:rPr>
        <w:t xml:space="preserve">51.2%，说明商业角色正在从“新能源配套”向“独立调节资源”移动。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fact</w:t>
      </w:r>
      <w:r>
        <w:rPr>
          <w:rFonts w:hint="eastAsia"/>
        </w:rPr>
        <w:t xml:space="preserve">：国家发展改革委、国家能源局在</w:t>
      </w:r>
      <w:r>
        <w:t xml:space="preserve"> 2025 </w:t>
      </w:r>
      <w:r>
        <w:rPr>
          <w:rFonts w:hint="eastAsia"/>
        </w:rPr>
        <w:t xml:space="preserve">年印发《新型储能规模化建设专项行动方案（2025-2027年）》，把规模化建设和高质量发展放到政策主线。</w:t>
      </w:r>
    </w:p>
    <w:bookmarkEnd w:id="16"/>
    <w:bookmarkStart w:id="17" w:name="section-10"/>
    <w:p>
      <w:pPr>
        <w:pStyle w:val="Heading3"/>
      </w:pPr>
      <w:r>
        <w:rPr>
          <w:rFonts w:hint="eastAsia"/>
        </w:rPr>
        <w:t xml:space="preserve">五个关键判断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4642"/>
        <w:gridCol w:w="855"/>
        <w:gridCol w:w="3648"/>
        <w:gridCol w:w="855"/>
      </w:tblGrid>
      <w:tr>
        <w:trPr>
          <w:tblHeader w:val="on"/>
          <w:cantSplit w:val="0"/>
        </w:trPr>
        <w:tc>
          <w:tcPr>
            <w:tcW w:type="dxa" w:w="46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判断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364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rPr>
          <w:cantSplit w:val="0"/>
        </w:trPr>
        <w:tc>
          <w:tcPr>
            <w:tcW w:type="dxa" w:w="46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新型储能已从示范期进入规模化建设期。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inference</w:t>
            </w:r>
          </w:p>
        </w:tc>
        <w:tc>
          <w:tcPr>
            <w:tcW w:type="dxa" w:w="364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2025 </w:t>
            </w:r>
            <w:r>
              <w:rPr>
                <w:rFonts w:hint="eastAsia"/>
              </w:rPr>
              <w:t xml:space="preserve">年底装机、独立储能占比、2025-2027</w:t>
            </w:r>
            <w:r>
              <w:t xml:space="preserve"> </w:t>
            </w:r>
            <w:r>
              <w:rPr>
                <w:rFonts w:hint="eastAsia"/>
              </w:rPr>
              <w:t xml:space="preserve">专项行动方案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46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行业最大瓶颈正在从“能不能建”转向“能不能被有效调用并获得稳定收益”。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inference</w:t>
            </w:r>
          </w:p>
        </w:tc>
        <w:tc>
          <w:tcPr>
            <w:tcW w:type="dxa" w:w="364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等效利用小时提升、政策强调市场机制和调度运用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46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短时锂电仍是主流，但长时储能会成为未来3年的观察重点。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hypothesis</w:t>
            </w:r>
          </w:p>
        </w:tc>
        <w:tc>
          <w:tcPr>
            <w:tcW w:type="dxa" w:w="364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4小时及以上项目占比提高，非锂路线仍小但被政策和试点关注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46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对创业者而言，纯电芯制造门槛高，系统集成、EMS、运维、安全监测和交易运营更适合寻找细分机会。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inference</w:t>
            </w:r>
          </w:p>
        </w:tc>
        <w:tc>
          <w:tcPr>
            <w:tcW w:type="dxa" w:w="364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产业链分工、项目大型化、市场化调用需求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464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低价竞争和安全事故是行业认知中不能忽视的两类风险。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hypothesis</w:t>
            </w:r>
          </w:p>
        </w:tc>
        <w:tc>
          <w:tcPr>
            <w:tcW w:type="dxa" w:w="364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技术路线集中、规模扩张、监管持续强调安全管理</w:t>
            </w:r>
          </w:p>
        </w:tc>
        <w:tc>
          <w:tcPr>
            <w:tcW w:type="dxa" w:w="855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</w:tbl>
    <w:bookmarkEnd w:id="17"/>
    <w:bookmarkEnd w:id="18"/>
    <w:bookmarkStart w:id="19" w:name="section-11"/>
    <w:p>
      <w:pPr>
        <w:pStyle w:val="Heading2"/>
      </w:pPr>
      <w:r>
        <w:t xml:space="preserve">2. </w:t>
      </w:r>
      <w:r>
        <w:rPr>
          <w:rFonts w:hint="eastAsia"/>
        </w:rPr>
        <w:t xml:space="preserve">领域定义、边界与排除项</w:t>
      </w:r>
    </w:p>
    <w:p>
      <w:pPr>
        <w:pStyle w:val="FirstParagraph"/>
      </w:pPr>
      <w:r>
        <w:rPr>
          <w:rFonts w:hint="eastAsia"/>
        </w:rPr>
        <w:t xml:space="preserve">理解新型储能，最容易踩的坑是把“所有和电池有关的东西”都放进来。这个行业的关键不是电池本身，而是这些技术如何服务电力系统调节。下面的边界表会帮助你区分宽口径、窄口径和本报告真正采用的数据口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228"/>
        <w:gridCol w:w="2105"/>
        <w:gridCol w:w="4561"/>
        <w:gridCol w:w="2106"/>
      </w:tblGrid>
      <w:tr>
        <w:trPr>
          <w:tblHeader w:val="on"/>
          <w:cantSplit w:val="0"/>
        </w:trPr>
        <w:tc>
          <w:tcPr>
            <w:tcW w:type="dxa" w:w="122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口径</w:t>
            </w:r>
          </w:p>
        </w:tc>
        <w:tc>
          <w:tcPr>
            <w:tcW w:type="dxa" w:w="21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定义</w:t>
            </w:r>
          </w:p>
        </w:tc>
        <w:tc>
          <w:tcPr>
            <w:tcW w:type="dxa" w:w="45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包含</w:t>
            </w:r>
          </w:p>
        </w:tc>
        <w:tc>
          <w:tcPr>
            <w:tcW w:type="dxa" w:w="21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排除</w:t>
            </w:r>
          </w:p>
        </w:tc>
      </w:tr>
      <w:tr>
        <w:trPr>
          <w:cantSplit w:val="0"/>
        </w:trPr>
        <w:tc>
          <w:tcPr>
            <w:tcW w:type="dxa" w:w="122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宽口径</w:t>
            </w:r>
          </w:p>
        </w:tc>
        <w:tc>
          <w:tcPr>
            <w:tcW w:type="dxa" w:w="21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储能产业生态</w:t>
            </w:r>
          </w:p>
        </w:tc>
        <w:tc>
          <w:tcPr>
            <w:tcW w:type="dxa" w:w="45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抽水蓄能、新型储能、设备、系统、运营、电力市场服务</w:t>
            </w:r>
          </w:p>
        </w:tc>
        <w:tc>
          <w:tcPr>
            <w:tcW w:type="dxa" w:w="21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与电力调节无关的消费电池</w:t>
            </w:r>
          </w:p>
        </w:tc>
      </w:tr>
      <w:tr>
        <w:trPr>
          <w:cantSplit w:val="0"/>
        </w:trPr>
        <w:tc>
          <w:tcPr>
            <w:tcW w:type="dxa" w:w="122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窄口径</w:t>
            </w:r>
          </w:p>
        </w:tc>
        <w:tc>
          <w:tcPr>
            <w:tcW w:type="dxa" w:w="21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新型储能电力应用</w:t>
            </w:r>
          </w:p>
        </w:tc>
        <w:tc>
          <w:tcPr>
            <w:tcW w:type="dxa" w:w="45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锂电、液流、压缩空气、飞轮、钠离子、EMS、PCS、BMS、储能电站</w:t>
            </w:r>
          </w:p>
        </w:tc>
        <w:tc>
          <w:tcPr>
            <w:tcW w:type="dxa" w:w="21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抽水蓄能深度研究</w:t>
            </w:r>
          </w:p>
        </w:tc>
      </w:tr>
      <w:tr>
        <w:trPr>
          <w:cantSplit w:val="0"/>
        </w:trPr>
        <w:tc>
          <w:tcPr>
            <w:tcW w:type="dxa" w:w="122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数据口径</w:t>
            </w:r>
          </w:p>
        </w:tc>
        <w:tc>
          <w:tcPr>
            <w:tcW w:type="dxa" w:w="21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国家能源局新型储能口径</w:t>
            </w:r>
          </w:p>
        </w:tc>
        <w:tc>
          <w:tcPr>
            <w:tcW w:type="dxa" w:w="45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除传统抽水蓄能外的储能技术</w:t>
            </w:r>
          </w:p>
        </w:tc>
        <w:tc>
          <w:tcPr>
            <w:tcW w:type="dxa" w:w="21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不同咨询机构的口径混用</w:t>
            </w:r>
          </w:p>
        </w:tc>
      </w:tr>
      <w:tr>
        <w:trPr>
          <w:cantSplit w:val="0"/>
        </w:trPr>
        <w:tc>
          <w:tcPr>
            <w:tcW w:type="dxa" w:w="1228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排除口径</w:t>
            </w:r>
          </w:p>
        </w:tc>
        <w:tc>
          <w:tcPr>
            <w:tcW w:type="dxa" w:w="21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容易误放入的对象</w:t>
            </w:r>
          </w:p>
        </w:tc>
        <w:tc>
          <w:tcPr>
            <w:tcW w:type="dxa" w:w="45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动力电池产能、户外电源、消费电子电池</w:t>
            </w:r>
          </w:p>
        </w:tc>
        <w:tc>
          <w:tcPr>
            <w:tcW w:type="dxa" w:w="21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与电网侧价值无直接关系的产品</w:t>
            </w:r>
          </w:p>
        </w:tc>
      </w:tr>
    </w:tbl>
    <w:bookmarkEnd w:id="19"/>
    <w:bookmarkStart w:id="20" w:name="section-12"/>
    <w:p>
      <w:pPr>
        <w:pStyle w:val="Heading2"/>
      </w:pPr>
      <w:r>
        <w:t xml:space="preserve">3. </w:t>
      </w:r>
      <w:r>
        <w:rPr>
          <w:rFonts w:hint="eastAsia"/>
        </w:rPr>
        <w:t xml:space="preserve">多口径分类地图</w:t>
      </w:r>
    </w:p>
    <w:p>
      <w:pPr>
        <w:pStyle w:val="FirstParagraph"/>
      </w:pPr>
      <w:r>
        <w:rPr>
          <w:rFonts w:hint="eastAsia"/>
        </w:rPr>
        <w:t xml:space="preserve">同一个行业，不同人会用不同方式切分。监管部门关心政策和装机，企业关心产品和场景，投资人关心可比公司和商业模式，电网则关心调节能力。把这些口径放在一起看，能避免只用单一分类解释所有问题。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331"/>
        <w:gridCol w:w="2281"/>
        <w:gridCol w:w="2281"/>
        <w:gridCol w:w="4107"/>
      </w:tblGrid>
      <w:tr>
        <w:trPr>
          <w:tblHeader w:val="on"/>
          <w:cantSplit w:val="0"/>
        </w:trPr>
        <w:tc>
          <w:tcPr>
            <w:tcW w:type="dxa" w:w="13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分类视角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用途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典型问题</w:t>
            </w:r>
          </w:p>
        </w:tc>
        <w:tc>
          <w:tcPr>
            <w:tcW w:type="dxa" w:w="41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代表依据</w:t>
            </w:r>
          </w:p>
        </w:tc>
      </w:tr>
      <w:tr>
        <w:trPr>
          <w:cantSplit w:val="0"/>
        </w:trPr>
        <w:tc>
          <w:tcPr>
            <w:tcW w:type="dxa" w:w="13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官方/政策口径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看装机、政策、监管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什么算新型储能</w:t>
            </w:r>
          </w:p>
        </w:tc>
        <w:tc>
          <w:tcPr>
            <w:tcW w:type="dxa" w:w="41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国家能源局、国家发展改革委文件</w:t>
            </w:r>
          </w:p>
        </w:tc>
      </w:tr>
      <w:tr>
        <w:trPr>
          <w:cantSplit w:val="0"/>
        </w:trPr>
        <w:tc>
          <w:tcPr>
            <w:tcW w:type="dxa" w:w="13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技术路线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看成熟度和替代风险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用什么方式存电</w:t>
            </w:r>
          </w:p>
        </w:tc>
        <w:tc>
          <w:tcPr>
            <w:tcW w:type="dxa" w:w="41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锂离子、液流、压缩空气、飞轮等</w:t>
            </w:r>
          </w:p>
        </w:tc>
      </w:tr>
      <w:tr>
        <w:trPr>
          <w:cantSplit w:val="0"/>
        </w:trPr>
        <w:tc>
          <w:tcPr>
            <w:tcW w:type="dxa" w:w="13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应用场景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看需求和收益来源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谁需要调节能力</w:t>
            </w:r>
          </w:p>
        </w:tc>
        <w:tc>
          <w:tcPr>
            <w:tcW w:type="dxa" w:w="41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独立储能、新能源配储、工商业储能、电网侧储能</w:t>
            </w:r>
          </w:p>
        </w:tc>
      </w:tr>
      <w:tr>
        <w:trPr>
          <w:cantSplit w:val="0"/>
        </w:trPr>
        <w:tc>
          <w:tcPr>
            <w:tcW w:type="dxa" w:w="13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价值链角色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看企业赚哪段钱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谁制造，谁集成，谁运营</w:t>
            </w:r>
          </w:p>
        </w:tc>
        <w:tc>
          <w:tcPr>
            <w:tcW w:type="dxa" w:w="41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电芯、PCS、BMS、EMS、系统集成、EPC、运维</w:t>
            </w:r>
          </w:p>
        </w:tc>
      </w:tr>
      <w:tr>
        <w:trPr>
          <w:cantSplit w:val="0"/>
        </w:trPr>
        <w:tc>
          <w:tcPr>
            <w:tcW w:type="dxa" w:w="13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商业模式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看现金流</w:t>
            </w:r>
          </w:p>
        </w:tc>
        <w:tc>
          <w:tcPr>
            <w:tcW w:type="dxa" w:w="22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靠容量、电量、辅助服务还是价差</w:t>
            </w:r>
          </w:p>
        </w:tc>
        <w:tc>
          <w:tcPr>
            <w:tcW w:type="dxa" w:w="410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电力市场、容量补偿、峰谷套利、租赁</w:t>
            </w:r>
          </w:p>
        </w:tc>
      </w:tr>
    </w:tbl>
    <w:bookmarkEnd w:id="20"/>
    <w:bookmarkStart w:id="21" w:name="section-13"/>
    <w:p>
      <w:pPr>
        <w:pStyle w:val="Heading2"/>
      </w:pPr>
      <w:r>
        <w:t xml:space="preserve">4. </w:t>
      </w:r>
      <w:r>
        <w:rPr>
          <w:rFonts w:hint="eastAsia"/>
        </w:rPr>
        <w:t xml:space="preserve">价值链、参与者与利润池</w:t>
      </w:r>
    </w:p>
    <w:p>
      <w:pPr>
        <w:pStyle w:val="FirstParagraph"/>
      </w:pPr>
      <w:r>
        <w:rPr>
          <w:rFonts w:hint="eastAsia"/>
        </w:rPr>
        <w:t xml:space="preserve">当边界和分类清楚以后，就要看行业里谁在做什么。储能不是一个单点产品，而是一条从电芯、设备、集成、建设到运营和交易的链条。不同环节的能力、收入来源和风险都不一样，所以理解价值链是看懂商业机会的前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273"/>
        <w:gridCol w:w="2182"/>
        <w:gridCol w:w="2182"/>
        <w:gridCol w:w="2182"/>
        <w:gridCol w:w="2181"/>
      </w:tblGrid>
      <w:tr>
        <w:trPr>
          <w:tblHeader w:val="on"/>
          <w:cantSplit w:val="0"/>
        </w:trPr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环节/角色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核心能力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收入或价值来源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壁垒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观察指标</w:t>
            </w:r>
          </w:p>
        </w:tc>
      </w:tr>
      <w:tr>
        <w:trPr>
          <w:cantSplit w:val="0"/>
        </w:trPr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电芯与材料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电化学体系、制造良率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电芯销售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规模、成本、质量、安全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单</w:t>
            </w:r>
            <w:r>
              <w:t xml:space="preserve"> Wh </w:t>
            </w:r>
            <w:r>
              <w:rPr>
                <w:rFonts w:hint="eastAsia"/>
              </w:rPr>
              <w:t xml:space="preserve">成本、循环寿命、良率</w:t>
            </w:r>
          </w:p>
        </w:tc>
      </w:tr>
      <w:tr>
        <w:trPr>
          <w:cantSplit w:val="0"/>
        </w:trPr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PCS/BMS/EMS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电力电子、控制、安全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设备和软件销售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控制算法、并网适配、可靠性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转换效率、故障率、响应速度</w:t>
            </w:r>
          </w:p>
        </w:tc>
      </w:tr>
      <w:tr>
        <w:trPr>
          <w:cantSplit w:val="0"/>
        </w:trPr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系统集成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设备选型、集成交付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项目收入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交付经验、认证、供应链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毛利率、项目周期、验收通过率</w:t>
            </w:r>
          </w:p>
        </w:tc>
      </w:tr>
      <w:tr>
        <w:trPr>
          <w:cantSplit w:val="0"/>
        </w:trPr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EPC/建设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工程设计和施工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工程服务费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资质、工程管理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工期、质量、安全记录</w:t>
            </w:r>
          </w:p>
        </w:tc>
      </w:tr>
      <w:tr>
        <w:trPr>
          <w:cantSplit w:val="0"/>
        </w:trPr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电站运营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调度、交易、运维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电力市场收益、容量或租赁收益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市场理解、数据、运维能力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等效利用小时、可用率、收益率</w:t>
            </w:r>
          </w:p>
        </w:tc>
      </w:tr>
      <w:tr>
        <w:trPr>
          <w:cantSplit w:val="0"/>
        </w:trPr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安全与检测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风险监测、认证、消防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检测、运维、安全服务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标准、资质、公信力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热失控预警、事故率、响应时间</w:t>
            </w:r>
          </w:p>
        </w:tc>
      </w:tr>
    </w:tbl>
    <w:bookmarkEnd w:id="21"/>
    <w:bookmarkStart w:id="22" w:name="section-14"/>
    <w:p>
      <w:pPr>
        <w:pStyle w:val="Heading2"/>
      </w:pPr>
      <w:r>
        <w:t xml:space="preserve">5. </w:t>
      </w:r>
      <w:r>
        <w:rPr>
          <w:rFonts w:hint="eastAsia"/>
        </w:rPr>
        <w:t xml:space="preserve">当前状态八维诊断</w:t>
      </w:r>
    </w:p>
    <w:p>
      <w:pPr>
        <w:pStyle w:val="FirstParagraph"/>
      </w:pPr>
      <w:r>
        <w:rPr>
          <w:rFonts w:hint="eastAsia"/>
        </w:rPr>
        <w:t xml:space="preserve">这一节回答“现在行业处在什么状态”。单看市场规模容易觉得一切都在高速增长，但真实判断还要同时看需求、供给、竞争、政策、技术和收益机制。八个维度放在一起，能让读者看到增长背后的约束。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195"/>
        <w:gridCol w:w="3385"/>
        <w:gridCol w:w="3371"/>
        <w:gridCol w:w="2049"/>
      </w:tblGrid>
      <w:tr>
        <w:trPr>
          <w:tblHeader w:val="on"/>
          <w:cantSplit w:val="0"/>
        </w:trPr>
        <w:tc>
          <w:tcPr>
            <w:tcW w:type="dxa" w:w="11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维度</w:t>
            </w:r>
          </w:p>
        </w:tc>
        <w:tc>
          <w:tcPr>
            <w:tcW w:type="dxa" w:w="33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当前状态</w:t>
            </w:r>
          </w:p>
        </w:tc>
        <w:tc>
          <w:tcPr>
            <w:tcW w:type="dxa" w:w="337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关键证据</w:t>
            </w:r>
          </w:p>
        </w:tc>
        <w:tc>
          <w:tcPr>
            <w:tcW w:type="dxa" w:w="2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不确定性</w:t>
            </w:r>
          </w:p>
        </w:tc>
      </w:tr>
      <w:tr>
        <w:trPr>
          <w:cantSplit w:val="0"/>
        </w:trPr>
        <w:tc>
          <w:tcPr>
            <w:tcW w:type="dxa" w:w="11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</w:t>
            </w:r>
          </w:p>
        </w:tc>
        <w:tc>
          <w:tcPr>
            <w:tcW w:type="dxa" w:w="33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高速扩张后进入规模化建设</w:t>
            </w:r>
          </w:p>
        </w:tc>
        <w:tc>
          <w:tcPr>
            <w:tcW w:type="dxa" w:w="337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2025 </w:t>
            </w:r>
            <w:r>
              <w:rPr>
                <w:rFonts w:hint="eastAsia"/>
              </w:rPr>
              <w:t xml:space="preserve">年底</w:t>
            </w:r>
            <w:r>
              <w:t xml:space="preserve"> 1.36 </w:t>
            </w:r>
            <w:r>
              <w:rPr>
                <w:rFonts w:hint="eastAsia"/>
              </w:rPr>
              <w:t xml:space="preserve">亿千瓦</w:t>
            </w:r>
            <w:r>
              <w:t xml:space="preserve"> / 3.51 </w:t>
            </w:r>
            <w:r>
              <w:rPr>
                <w:rFonts w:hint="eastAsia"/>
              </w:rPr>
              <w:t xml:space="preserve">亿千瓦时</w:t>
            </w:r>
          </w:p>
        </w:tc>
        <w:tc>
          <w:tcPr>
            <w:tcW w:type="dxa" w:w="2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不同机构统计口径差异</w:t>
            </w:r>
          </w:p>
        </w:tc>
      </w:tr>
      <w:tr>
        <w:trPr>
          <w:cantSplit w:val="0"/>
        </w:trPr>
        <w:tc>
          <w:tcPr>
            <w:tcW w:type="dxa" w:w="11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需求</w:t>
            </w:r>
          </w:p>
        </w:tc>
        <w:tc>
          <w:tcPr>
            <w:tcW w:type="dxa" w:w="33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新能源消纳、电网调峰、保供共同驱动</w:t>
            </w:r>
          </w:p>
        </w:tc>
        <w:tc>
          <w:tcPr>
            <w:tcW w:type="dxa" w:w="337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国家能源局发布会说明其支撑新能源消纳和稳定运行</w:t>
            </w:r>
          </w:p>
        </w:tc>
        <w:tc>
          <w:tcPr>
            <w:tcW w:type="dxa" w:w="2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各省电力市场收益差异</w:t>
            </w:r>
          </w:p>
        </w:tc>
      </w:tr>
      <w:tr>
        <w:trPr>
          <w:cantSplit w:val="0"/>
        </w:trPr>
        <w:tc>
          <w:tcPr>
            <w:tcW w:type="dxa" w:w="11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供给</w:t>
            </w:r>
          </w:p>
        </w:tc>
        <w:tc>
          <w:tcPr>
            <w:tcW w:type="dxa" w:w="33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锂电路线占绝对主导</w:t>
            </w:r>
          </w:p>
        </w:tc>
        <w:tc>
          <w:tcPr>
            <w:tcW w:type="dxa" w:w="337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2025 </w:t>
            </w:r>
            <w:r>
              <w:rPr>
                <w:rFonts w:hint="eastAsia"/>
              </w:rPr>
              <w:t xml:space="preserve">年底锂电占比</w:t>
            </w:r>
            <w:r>
              <w:t xml:space="preserve"> 96.1%</w:t>
            </w:r>
          </w:p>
        </w:tc>
        <w:tc>
          <w:tcPr>
            <w:tcW w:type="dxa" w:w="2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价格战对质量和盈利的影响</w:t>
            </w:r>
          </w:p>
        </w:tc>
      </w:tr>
      <w:tr>
        <w:trPr>
          <w:cantSplit w:val="0"/>
        </w:trPr>
        <w:tc>
          <w:tcPr>
            <w:tcW w:type="dxa" w:w="11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竞争</w:t>
            </w:r>
          </w:p>
        </w:tc>
        <w:tc>
          <w:tcPr>
            <w:tcW w:type="dxa" w:w="33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产业链长，参与者多，项目大型化</w:t>
            </w:r>
          </w:p>
        </w:tc>
        <w:tc>
          <w:tcPr>
            <w:tcW w:type="dxa" w:w="337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10万千瓦以上项目占比达</w:t>
            </w:r>
            <w:r>
              <w:t xml:space="preserve"> 72%</w:t>
            </w:r>
          </w:p>
        </w:tc>
        <w:tc>
          <w:tcPr>
            <w:tcW w:type="dxa" w:w="2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头部集中度和地方项目质量</w:t>
            </w:r>
          </w:p>
        </w:tc>
      </w:tr>
      <w:tr>
        <w:trPr>
          <w:cantSplit w:val="0"/>
        </w:trPr>
        <w:tc>
          <w:tcPr>
            <w:tcW w:type="dxa" w:w="11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价值链</w:t>
            </w:r>
          </w:p>
        </w:tc>
        <w:tc>
          <w:tcPr>
            <w:tcW w:type="dxa" w:w="33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利润从设备销售逐步向运营、交易、软件和安全服务延伸</w:t>
            </w:r>
          </w:p>
        </w:tc>
        <w:tc>
          <w:tcPr>
            <w:tcW w:type="dxa" w:w="337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独立储能占比提升</w:t>
            </w:r>
          </w:p>
        </w:tc>
        <w:tc>
          <w:tcPr>
            <w:tcW w:type="dxa" w:w="2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市场机制兑现速度</w:t>
            </w:r>
          </w:p>
        </w:tc>
      </w:tr>
      <w:tr>
        <w:trPr>
          <w:cantSplit w:val="0"/>
        </w:trPr>
        <w:tc>
          <w:tcPr>
            <w:tcW w:type="dxa" w:w="11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政策/标准</w:t>
            </w:r>
          </w:p>
        </w:tc>
        <w:tc>
          <w:tcPr>
            <w:tcW w:type="dxa" w:w="33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政策持续推动规模化和高质量</w:t>
            </w:r>
          </w:p>
        </w:tc>
        <w:tc>
          <w:tcPr>
            <w:tcW w:type="dxa" w:w="337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2025-2027 </w:t>
            </w:r>
            <w:r>
              <w:rPr>
                <w:rFonts w:hint="eastAsia"/>
              </w:rPr>
              <w:t xml:space="preserve">专项行动方案</w:t>
            </w:r>
          </w:p>
        </w:tc>
        <w:tc>
          <w:tcPr>
            <w:tcW w:type="dxa" w:w="2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地方执行差异</w:t>
            </w:r>
          </w:p>
        </w:tc>
      </w:tr>
      <w:tr>
        <w:trPr>
          <w:cantSplit w:val="0"/>
        </w:trPr>
        <w:tc>
          <w:tcPr>
            <w:tcW w:type="dxa" w:w="11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</w:t>
            </w:r>
          </w:p>
        </w:tc>
        <w:tc>
          <w:tcPr>
            <w:tcW w:type="dxa" w:w="33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短时锂电成熟，长时路线被关注</w:t>
            </w:r>
          </w:p>
        </w:tc>
        <w:tc>
          <w:tcPr>
            <w:tcW w:type="dxa" w:w="337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4小时及以上项目占比达</w:t>
            </w:r>
            <w:r>
              <w:t xml:space="preserve"> 27.6%</w:t>
            </w:r>
          </w:p>
        </w:tc>
        <w:tc>
          <w:tcPr>
            <w:tcW w:type="dxa" w:w="2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非锂技术经济性</w:t>
            </w:r>
          </w:p>
        </w:tc>
      </w:tr>
      <w:tr>
        <w:trPr>
          <w:cantSplit w:val="0"/>
        </w:trPr>
        <w:tc>
          <w:tcPr>
            <w:tcW w:type="dxa" w:w="11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资本/财务</w:t>
            </w:r>
          </w:p>
        </w:tc>
        <w:tc>
          <w:tcPr>
            <w:tcW w:type="dxa" w:w="33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投资规模大，但收益模型仍需市场化完善</w:t>
            </w:r>
          </w:p>
        </w:tc>
        <w:tc>
          <w:tcPr>
            <w:tcW w:type="dxa" w:w="337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2021-2025 </w:t>
            </w:r>
            <w:r>
              <w:rPr>
                <w:rFonts w:hint="eastAsia"/>
              </w:rPr>
              <w:t xml:space="preserve">期间直接带动投资接近</w:t>
            </w:r>
            <w:r>
              <w:t xml:space="preserve"> 2000 </w:t>
            </w:r>
            <w:r>
              <w:rPr>
                <w:rFonts w:hint="eastAsia"/>
              </w:rPr>
              <w:t xml:space="preserve">亿元</w:t>
            </w:r>
          </w:p>
        </w:tc>
        <w:tc>
          <w:tcPr>
            <w:tcW w:type="dxa" w:w="2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项目</w:t>
            </w:r>
            <w:r>
              <w:t xml:space="preserve"> IRR </w:t>
            </w:r>
            <w:r>
              <w:rPr>
                <w:rFonts w:hint="eastAsia"/>
              </w:rPr>
              <w:t xml:space="preserve">与真实调用水平</w:t>
            </w:r>
          </w:p>
        </w:tc>
      </w:tr>
    </w:tbl>
    <w:bookmarkEnd w:id="22"/>
    <w:bookmarkStart w:id="23" w:name="section-15"/>
    <w:p>
      <w:pPr>
        <w:pStyle w:val="Heading2"/>
      </w:pPr>
      <w:r>
        <w:t xml:space="preserve">6. </w:t>
      </w:r>
      <w:r>
        <w:rPr>
          <w:rFonts w:hint="eastAsia"/>
        </w:rPr>
        <w:t xml:space="preserve">生命周期与变化变量</w:t>
      </w:r>
    </w:p>
    <w:p>
      <w:pPr>
        <w:pStyle w:val="FirstParagraph"/>
      </w:pPr>
      <w:r>
        <w:rPr>
          <w:rFonts w:hint="eastAsia"/>
        </w:rPr>
        <w:t xml:space="preserve">生命周期判断的意义，不是简单说行业处在成长还是成熟，而是帮助我们知道下一步该盯什么。新型储能整体在成长，但短时锂电、长时储能和独立储能的成熟度并不一样，所以这里把细分领域分开看。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182"/>
        <w:gridCol w:w="1273"/>
        <w:gridCol w:w="2182"/>
        <w:gridCol w:w="2182"/>
        <w:gridCol w:w="2181"/>
      </w:tblGrid>
      <w:tr>
        <w:trPr>
          <w:tblHeader w:val="on"/>
          <w:cantSplit w:val="0"/>
        </w:trPr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细分领域</w:t>
            </w:r>
          </w:p>
        </w:tc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阶段判断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例外/反例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未来变量</w:t>
            </w:r>
          </w:p>
        </w:tc>
      </w:tr>
      <w:tr>
        <w:trPr>
          <w:cantSplit w:val="0"/>
        </w:trPr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电力系统新型储能整体</w:t>
            </w:r>
          </w:p>
        </w:tc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成长期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装机快速增长、政策专项行动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局部项目收益不稳定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市场化调用和收益机制</w:t>
            </w:r>
          </w:p>
        </w:tc>
      </w:tr>
      <w:tr>
        <w:trPr>
          <w:cantSplit w:val="0"/>
        </w:trPr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锂电短时储能</w:t>
            </w:r>
          </w:p>
        </w:tc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成长期后段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技术主流、项目大型化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价格战和安全压力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成本、质量、安全标准</w:t>
            </w:r>
          </w:p>
        </w:tc>
      </w:tr>
      <w:tr>
        <w:trPr>
          <w:cantSplit w:val="0"/>
        </w:trPr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长时储能</w:t>
            </w:r>
          </w:p>
        </w:tc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导入到成长早期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4小时及以上占比提升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非锂路线占比仍低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技术成本、示范项目效果</w:t>
            </w:r>
          </w:p>
        </w:tc>
      </w:tr>
      <w:tr>
        <w:trPr>
          <w:cantSplit w:val="0"/>
        </w:trPr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独立储能</w:t>
            </w:r>
          </w:p>
        </w:tc>
        <w:tc>
          <w:tcPr>
            <w:tcW w:type="dxa" w:w="127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成长期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累计装机占比</w:t>
            </w:r>
            <w:r>
              <w:t xml:space="preserve"> 51.2%</w:t>
            </w:r>
          </w:p>
        </w:tc>
        <w:tc>
          <w:tcPr>
            <w:tcW w:type="dxa" w:w="218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地方市场规则差异</w:t>
            </w:r>
          </w:p>
        </w:tc>
        <w:tc>
          <w:tcPr>
            <w:tcW w:type="dxa" w:w="21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电力现货和辅助服务市场</w:t>
            </w:r>
          </w:p>
        </w:tc>
      </w:tr>
    </w:tbl>
    <w:bookmarkEnd w:id="23"/>
    <w:bookmarkStart w:id="24" w:name="section-16"/>
    <w:p>
      <w:pPr>
        <w:pStyle w:val="Heading2"/>
      </w:pPr>
      <w:r>
        <w:t xml:space="preserve">7. </w:t>
      </w:r>
      <w:r>
        <w:rPr>
          <w:rFonts w:hint="eastAsia"/>
        </w:rPr>
        <w:t xml:space="preserve">竞争结构、壁垒与替代风险</w:t>
      </w:r>
    </w:p>
    <w:p>
      <w:pPr>
        <w:pStyle w:val="FirstParagraph"/>
      </w:pPr>
      <w:r>
        <w:rPr>
          <w:rFonts w:hint="eastAsia"/>
        </w:rPr>
        <w:t xml:space="preserve">看完生命周期之后，还要看行业里的力量如何互相挤压。储能不是只有同行竞争，还会受到替代调节资源、上游电芯、下游电网和工商业客户的影响。理解这些力量，才能判断哪里有壁垒，哪里只是短期热闹。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246"/>
        <w:gridCol w:w="3654"/>
        <w:gridCol w:w="2135"/>
        <w:gridCol w:w="2965"/>
      </w:tblGrid>
      <w:tr>
        <w:trPr>
          <w:tblHeader w:val="on"/>
          <w:cantSplit w:val="0"/>
        </w:trPr>
        <w:tc>
          <w:tcPr>
            <w:tcW w:type="dxa" w:w="12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力量</w:t>
            </w:r>
          </w:p>
        </w:tc>
        <w:tc>
          <w:tcPr>
            <w:tcW w:type="dxa" w:w="36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当前判断</w:t>
            </w:r>
          </w:p>
        </w:tc>
        <w:tc>
          <w:tcPr>
            <w:tcW w:type="dxa" w:w="21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29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对学习/行动的影响</w:t>
            </w:r>
          </w:p>
        </w:tc>
      </w:tr>
      <w:tr>
        <w:trPr>
          <w:cantSplit w:val="0"/>
        </w:trPr>
        <w:tc>
          <w:tcPr>
            <w:tcW w:type="dxa" w:w="12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现有竞争</w:t>
            </w:r>
          </w:p>
        </w:tc>
        <w:tc>
          <w:tcPr>
            <w:tcW w:type="dxa" w:w="36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设备侧竞争强，运营侧能力分化</w:t>
            </w:r>
          </w:p>
        </w:tc>
        <w:tc>
          <w:tcPr>
            <w:tcW w:type="dxa" w:w="21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锂电占比高，项目大型化</w:t>
            </w:r>
          </w:p>
        </w:tc>
        <w:tc>
          <w:tcPr>
            <w:tcW w:type="dxa" w:w="29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不要只看装机，要看利用和收益</w:t>
            </w:r>
          </w:p>
        </w:tc>
      </w:tr>
      <w:tr>
        <w:trPr>
          <w:cantSplit w:val="0"/>
        </w:trPr>
        <w:tc>
          <w:tcPr>
            <w:tcW w:type="dxa" w:w="12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潜在进入者</w:t>
            </w:r>
          </w:p>
        </w:tc>
        <w:tc>
          <w:tcPr>
            <w:tcW w:type="dxa" w:w="36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系统集成和运维进入者较多</w:t>
            </w:r>
          </w:p>
        </w:tc>
        <w:tc>
          <w:tcPr>
            <w:tcW w:type="dxa" w:w="21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产业链长、地方项目多</w:t>
            </w:r>
          </w:p>
        </w:tc>
        <w:tc>
          <w:tcPr>
            <w:tcW w:type="dxa" w:w="29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需要用资质、案例、数据能力筛选</w:t>
            </w:r>
          </w:p>
        </w:tc>
      </w:tr>
      <w:tr>
        <w:trPr>
          <w:cantSplit w:val="0"/>
        </w:trPr>
        <w:tc>
          <w:tcPr>
            <w:tcW w:type="dxa" w:w="12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替代品</w:t>
            </w:r>
          </w:p>
        </w:tc>
        <w:tc>
          <w:tcPr>
            <w:tcW w:type="dxa" w:w="36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抽水蓄能、火电灵活性、需求响应都是替代/互补</w:t>
            </w:r>
          </w:p>
        </w:tc>
        <w:tc>
          <w:tcPr>
            <w:tcW w:type="dxa" w:w="21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电力系统调节资源多元</w:t>
            </w:r>
          </w:p>
        </w:tc>
        <w:tc>
          <w:tcPr>
            <w:tcW w:type="dxa" w:w="29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新型储能不是唯一调节方式</w:t>
            </w:r>
          </w:p>
        </w:tc>
      </w:tr>
      <w:tr>
        <w:trPr>
          <w:cantSplit w:val="0"/>
        </w:trPr>
        <w:tc>
          <w:tcPr>
            <w:tcW w:type="dxa" w:w="12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供应方</w:t>
            </w:r>
          </w:p>
        </w:tc>
        <w:tc>
          <w:tcPr>
            <w:tcW w:type="dxa" w:w="36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电芯和关键设备影响成本与交付</w:t>
            </w:r>
          </w:p>
        </w:tc>
        <w:tc>
          <w:tcPr>
            <w:tcW w:type="dxa" w:w="21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锂电路线主导</w:t>
            </w:r>
          </w:p>
        </w:tc>
        <w:tc>
          <w:tcPr>
            <w:tcW w:type="dxa" w:w="29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上游价格和质量控制重要</w:t>
            </w:r>
          </w:p>
        </w:tc>
      </w:tr>
      <w:tr>
        <w:trPr>
          <w:cantSplit w:val="0"/>
        </w:trPr>
        <w:tc>
          <w:tcPr>
            <w:tcW w:type="dxa" w:w="12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购买方</w:t>
            </w:r>
          </w:p>
        </w:tc>
        <w:tc>
          <w:tcPr>
            <w:tcW w:type="dxa" w:w="36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电网、发电企业、工商业用户议价能力强</w:t>
            </w:r>
          </w:p>
        </w:tc>
        <w:tc>
          <w:tcPr>
            <w:tcW w:type="dxa" w:w="213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项目多依赖场景和政策</w:t>
            </w:r>
          </w:p>
        </w:tc>
        <w:tc>
          <w:tcPr>
            <w:tcW w:type="dxa" w:w="296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商业模型要从客户收益倒推</w:t>
            </w:r>
          </w:p>
        </w:tc>
      </w:tr>
    </w:tbl>
    <w:bookmarkEnd w:id="24"/>
    <w:bookmarkStart w:id="25" w:name="section-17"/>
    <w:p>
      <w:pPr>
        <w:pStyle w:val="Heading2"/>
      </w:pPr>
      <w:r>
        <w:t xml:space="preserve">8. </w:t>
      </w:r>
      <w:r>
        <w:rPr>
          <w:rFonts w:hint="eastAsia"/>
        </w:rPr>
        <w:t xml:space="preserve">政策、标准、技术与资本信号</w:t>
      </w:r>
    </w:p>
    <w:p>
      <w:pPr>
        <w:pStyle w:val="FirstParagraph"/>
      </w:pPr>
      <w:r>
        <w:rPr>
          <w:rFonts w:hint="eastAsia"/>
        </w:rPr>
        <w:t xml:space="preserve">新型储能的行业节奏很大程度上受政策、标准、技术路线和市场机制影响。对新人来说，不需要一开始就读完所有政策文件，但要知道哪些信号会改变行业走向，后续跟踪时才有重点。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481"/>
        <w:gridCol w:w="2539"/>
        <w:gridCol w:w="2539"/>
        <w:gridCol w:w="3441"/>
      </w:tblGrid>
      <w:tr>
        <w:trPr>
          <w:tblHeader w:val="on"/>
          <w:cantSplit w:val="0"/>
        </w:trPr>
        <w:tc>
          <w:tcPr>
            <w:tcW w:type="dxa" w:w="14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信号类型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关键内容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>
            <w:tcW w:type="dxa" w:w="34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跟踪方式</w:t>
            </w:r>
          </w:p>
        </w:tc>
      </w:tr>
      <w:tr>
        <w:trPr>
          <w:cantSplit w:val="0"/>
        </w:trPr>
        <w:tc>
          <w:tcPr>
            <w:tcW w:type="dxa" w:w="14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政策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2025-2027 </w:t>
            </w:r>
            <w:r>
              <w:rPr>
                <w:rFonts w:hint="eastAsia"/>
              </w:rPr>
              <w:t xml:space="preserve">专项行动方案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决定规模化建设方向</w:t>
            </w:r>
          </w:p>
        </w:tc>
        <w:tc>
          <w:tcPr>
            <w:tcW w:type="dxa" w:w="34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跟踪国家发展改革委、国家能源局</w:t>
            </w:r>
          </w:p>
        </w:tc>
      </w:tr>
      <w:tr>
        <w:trPr>
          <w:cantSplit w:val="0"/>
        </w:trPr>
        <w:tc>
          <w:tcPr>
            <w:tcW w:type="dxa" w:w="14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调度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新型储能调用水平提升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影响真实收益</w:t>
            </w:r>
          </w:p>
        </w:tc>
        <w:tc>
          <w:tcPr>
            <w:tcW w:type="dxa" w:w="34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看等效利用小时和市场规则</w:t>
            </w:r>
          </w:p>
        </w:tc>
      </w:tr>
      <w:tr>
        <w:trPr>
          <w:cantSplit w:val="0"/>
        </w:trPr>
        <w:tc>
          <w:tcPr>
            <w:tcW w:type="dxa" w:w="14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电化学储能安全管理持续强化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影响准入、保险和运维</w:t>
            </w:r>
          </w:p>
        </w:tc>
        <w:tc>
          <w:tcPr>
            <w:tcW w:type="dxa" w:w="34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看事故、标准、检测要求</w:t>
            </w:r>
          </w:p>
        </w:tc>
      </w:tr>
      <w:tr>
        <w:trPr>
          <w:cantSplit w:val="0"/>
        </w:trPr>
        <w:tc>
          <w:tcPr>
            <w:tcW w:type="dxa" w:w="14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长时储能占比提升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影响技术路线选择</w:t>
            </w:r>
          </w:p>
        </w:tc>
        <w:tc>
          <w:tcPr>
            <w:tcW w:type="dxa" w:w="34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</w:t>
            </w:r>
            <w:r>
              <w:t xml:space="preserve"> </w:t>
            </w:r>
            <w:r>
              <w:rPr>
                <w:rFonts w:hint="eastAsia"/>
              </w:rPr>
              <w:t xml:space="preserve">4小时及以上项目占比</w:t>
            </w:r>
          </w:p>
        </w:tc>
      </w:tr>
      <w:tr>
        <w:trPr>
          <w:cantSplit w:val="0"/>
        </w:trPr>
        <w:tc>
          <w:tcPr>
            <w:tcW w:type="dxa" w:w="14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独立储能占比提升</w:t>
            </w:r>
          </w:p>
        </w:tc>
        <w:tc>
          <w:tcPr>
            <w:tcW w:type="dxa" w:w="253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影响商业模式</w:t>
            </w:r>
          </w:p>
        </w:tc>
        <w:tc>
          <w:tcPr>
            <w:tcW w:type="dxa" w:w="34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看独立储能参与现货、辅助服务</w:t>
            </w:r>
          </w:p>
        </w:tc>
      </w:tr>
    </w:tbl>
    <w:bookmarkEnd w:id="25"/>
    <w:bookmarkStart w:id="32" w:name="section-18"/>
    <w:p>
      <w:pPr>
        <w:pStyle w:val="Heading2"/>
      </w:pPr>
      <w:r>
        <w:t xml:space="preserve">9. </w:t>
      </w:r>
      <w:r>
        <w:rPr>
          <w:rFonts w:hint="eastAsia"/>
        </w:rPr>
        <w:t xml:space="preserve">代表公司、人物、机构、案例或实践场景</w:t>
      </w:r>
    </w:p>
    <w:p>
      <w:pPr>
        <w:pStyle w:val="FirstParagraph"/>
      </w:pPr>
      <w:r>
        <w:rPr>
          <w:rFonts w:hint="eastAsia"/>
        </w:rPr>
        <w:t xml:space="preserve">抽象概念需要落到真实对象上，才容易被理解。这里选取的公司、人物和角色不是排名，也不是投资建议，而是学习锚点：每个对象都对应一个行业逻辑，帮助你把概念和现实场景连起来。</w:t>
      </w:r>
    </w:p>
    <w:bookmarkStart w:id="26" w:name="section-19"/>
    <w:p>
      <w:pPr>
        <w:pStyle w:val="Heading3"/>
      </w:pPr>
      <w:r>
        <w:rPr>
          <w:rFonts w:hint="eastAsia"/>
        </w:rPr>
        <w:t xml:space="preserve">学习锚点：宁德时代</w:t>
      </w:r>
      <w:r>
        <w:t xml:space="preserve"> CATL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64"/>
        <w:gridCol w:w="6636"/>
      </w:tblGrid>
      <w:tr>
        <w:trPr>
          <w:tblHeader w:val="on"/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典型公司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公开资料显示其业务覆盖动力电池和储能系统。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电芯能力和规模制造会影响储能系统成本、安全和供应链。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看储能不能只看电站，也要看电芯、材料和制造能力。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不能把电芯龙头的逻辑直接等同于所有储能运营项目的收益逻辑。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宁德时代官网</w:t>
            </w:r>
          </w:p>
        </w:tc>
      </w:tr>
    </w:tbl>
    <w:bookmarkEnd w:id="26"/>
    <w:bookmarkStart w:id="27" w:name="section-20"/>
    <w:p>
      <w:pPr>
        <w:pStyle w:val="Heading3"/>
      </w:pPr>
      <w:r>
        <w:rPr>
          <w:rFonts w:hint="eastAsia"/>
        </w:rPr>
        <w:t xml:space="preserve">学习锚点：比亚迪储能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64"/>
        <w:gridCol w:w="6636"/>
      </w:tblGrid>
      <w:tr>
        <w:trPr>
          <w:tblHeader w:val="on"/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典型公司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官网显示其提供源网侧、工商业、微电网等储能解决方案。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储能公司不只是卖电池，还会按场景提供系统方案。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学会按应用场景理解产品，而不是只按电池型号理解。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官网产品矩阵能说明场景覆盖，但不能单独证明项目经济性。</w:t>
            </w:r>
          </w:p>
        </w:tc>
      </w:tr>
      <w:tr>
        <w:trPr>
          <w:cantSplit w:val="0"/>
        </w:trPr>
        <w:tc>
          <w:tcPr>
            <w:tcW w:type="dxa" w:w="336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63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比亚迪储能官网</w:t>
            </w:r>
          </w:p>
        </w:tc>
      </w:tr>
    </w:tbl>
    <w:bookmarkEnd w:id="27"/>
    <w:bookmarkStart w:id="28" w:name="section-21"/>
    <w:p>
      <w:pPr>
        <w:pStyle w:val="Heading3"/>
      </w:pPr>
      <w:r>
        <w:rPr>
          <w:rFonts w:hint="eastAsia"/>
        </w:rPr>
        <w:t xml:space="preserve">学习锚点：阳光电源</w:t>
      </w:r>
      <w:r>
        <w:t xml:space="preserve"> Sungrow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59"/>
        <w:gridCol w:w="6941"/>
      </w:tblGrid>
      <w:tr>
        <w:trPr>
          <w:tblHeader w:val="on"/>
          <w:cantSplit w:val="0"/>
        </w:trPr>
        <w:tc>
          <w:tcPr>
            <w:tcW w:type="dxa" w:w="30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9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典型公司</w:t>
            </w:r>
          </w:p>
        </w:tc>
      </w:tr>
      <w:tr>
        <w:trPr>
          <w:cantSplit w:val="0"/>
        </w:trPr>
        <w:tc>
          <w:tcPr>
            <w:tcW w:type="dxa" w:w="30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9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官网显示其储能系统覆盖</w:t>
            </w:r>
            <w:r>
              <w:t xml:space="preserve"> </w:t>
            </w:r>
            <w:r>
              <w:rPr>
                <w:rFonts w:hint="eastAsia"/>
              </w:rPr>
              <w:t xml:space="preserve">PCS、锂电池和</w:t>
            </w:r>
            <w:r>
              <w:t xml:space="preserve"> </w:t>
            </w:r>
            <w:r>
              <w:rPr>
                <w:rFonts w:hint="eastAsia"/>
              </w:rPr>
              <w:t xml:space="preserve">EMS，并服务户用、工商业、公用事业侧。</w:t>
            </w:r>
          </w:p>
        </w:tc>
      </w:tr>
      <w:tr>
        <w:trPr>
          <w:cantSplit w:val="0"/>
        </w:trPr>
        <w:tc>
          <w:tcPr>
            <w:tcW w:type="dxa" w:w="30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9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储能系统集成的关键是电力电子、电化学和电网支撑能力的组合。</w:t>
            </w:r>
          </w:p>
        </w:tc>
      </w:tr>
      <w:tr>
        <w:trPr>
          <w:cantSplit w:val="0"/>
        </w:trPr>
        <w:tc>
          <w:tcPr>
            <w:tcW w:type="dxa" w:w="30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941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PCS/EMS </w:t>
            </w:r>
            <w:r>
              <w:rPr>
                <w:rFonts w:hint="eastAsia"/>
              </w:rPr>
              <w:t xml:space="preserve">不是配件，而是储能能否并网、调度和赚钱的核心。</w:t>
            </w:r>
          </w:p>
        </w:tc>
      </w:tr>
      <w:tr>
        <w:trPr>
          <w:cantSplit w:val="0"/>
        </w:trPr>
        <w:tc>
          <w:tcPr>
            <w:tcW w:type="dxa" w:w="30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9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系统集成能力不等于每个市场和每个项目都有同样收益。</w:t>
            </w:r>
          </w:p>
        </w:tc>
      </w:tr>
      <w:tr>
        <w:trPr>
          <w:cantSplit w:val="0"/>
        </w:trPr>
        <w:tc>
          <w:tcPr>
            <w:tcW w:type="dxa" w:w="305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94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阳光电源官网</w:t>
            </w:r>
          </w:p>
        </w:tc>
      </w:tr>
    </w:tbl>
    <w:bookmarkEnd w:id="28"/>
    <w:bookmarkStart w:id="29" w:name="section-22"/>
    <w:p>
      <w:pPr>
        <w:pStyle w:val="Heading3"/>
      </w:pPr>
      <w:r>
        <w:rPr>
          <w:rFonts w:hint="eastAsia"/>
        </w:rPr>
        <w:t xml:space="preserve">学习锚点：南网储能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51"/>
        <w:gridCol w:w="6949"/>
      </w:tblGrid>
      <w:tr>
        <w:trPr>
          <w:tblHeader w:val="on"/>
          <w:cantSplit w:val="0"/>
        </w:trPr>
        <w:tc>
          <w:tcPr>
            <w:tcW w:type="dxa" w:w="30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9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典型公司/运营平台</w:t>
            </w:r>
          </w:p>
        </w:tc>
      </w:tr>
      <w:tr>
        <w:trPr>
          <w:cantSplit w:val="0"/>
        </w:trPr>
        <w:tc>
          <w:tcPr>
            <w:tcW w:type="dxa" w:w="30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9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公开资料显示其主营抽水蓄能、调峰水电和电网侧独立储能业务。</w:t>
            </w:r>
          </w:p>
        </w:tc>
      </w:tr>
      <w:tr>
        <w:trPr>
          <w:cantSplit w:val="0"/>
        </w:trPr>
        <w:tc>
          <w:tcPr>
            <w:tcW w:type="dxa" w:w="30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9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电站运营能力和电网调度理解决定储能资产能否被有效使用。</w:t>
            </w:r>
          </w:p>
        </w:tc>
      </w:tr>
      <w:tr>
        <w:trPr>
          <w:cantSplit w:val="0"/>
        </w:trPr>
        <w:tc>
          <w:tcPr>
            <w:tcW w:type="dxa" w:w="30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9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从运营商视角看储能：资产建成只是第一步，被调用才产生价值。</w:t>
            </w:r>
          </w:p>
        </w:tc>
      </w:tr>
      <w:tr>
        <w:trPr>
          <w:cantSplit w:val="0"/>
        </w:trPr>
        <w:tc>
          <w:tcPr>
            <w:tcW w:type="dxa" w:w="30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9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南网储能的区域和电网侧属性不能代表所有用户侧储能项目。</w:t>
            </w:r>
          </w:p>
        </w:tc>
      </w:tr>
      <w:tr>
        <w:trPr>
          <w:cantSplit w:val="0"/>
        </w:trPr>
        <w:tc>
          <w:tcPr>
            <w:tcW w:type="dxa" w:w="30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9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公司公开资料</w:t>
            </w:r>
          </w:p>
        </w:tc>
      </w:tr>
    </w:tbl>
    <w:bookmarkEnd w:id="29"/>
    <w:bookmarkStart w:id="30" w:name="section-23"/>
    <w:p>
      <w:pPr>
        <w:pStyle w:val="Heading3"/>
      </w:pPr>
      <w:r>
        <w:rPr>
          <w:rFonts w:hint="eastAsia"/>
        </w:rPr>
        <w:t xml:space="preserve">学习锚点：曾毓群</w:t>
      </w:r>
      <w:r>
        <w:t xml:space="preserve"> / Robin Zeng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354"/>
        <w:gridCol w:w="6646"/>
      </w:tblGrid>
      <w:tr>
        <w:trPr>
          <w:tblHeader w:val="on"/>
          <w:cantSplit w:val="0"/>
        </w:trPr>
        <w:tc>
          <w:tcPr>
            <w:tcW w:type="dxa" w:w="33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6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3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6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代表人物</w:t>
            </w:r>
          </w:p>
        </w:tc>
      </w:tr>
      <w:tr>
        <w:trPr>
          <w:cantSplit w:val="0"/>
        </w:trPr>
        <w:tc>
          <w:tcPr>
            <w:tcW w:type="dxa" w:w="33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6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宁德时代官方英文新闻称其为</w:t>
            </w:r>
            <w:r>
              <w:t xml:space="preserve"> CATL chairman and CEO。</w:t>
            </w:r>
          </w:p>
        </w:tc>
      </w:tr>
      <w:tr>
        <w:trPr>
          <w:cantSplit w:val="0"/>
        </w:trPr>
        <w:tc>
          <w:tcPr>
            <w:tcW w:type="dxa" w:w="33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6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行业人物可以帮助理解技术路线、资本战略和产业组织方式。</w:t>
            </w:r>
          </w:p>
        </w:tc>
      </w:tr>
      <w:tr>
        <w:trPr>
          <w:cantSplit w:val="0"/>
        </w:trPr>
        <w:tc>
          <w:tcPr>
            <w:tcW w:type="dxa" w:w="33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6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人物不是结论来源，但能帮助新人找到行业叙事和战略变化的入口。</w:t>
            </w:r>
          </w:p>
        </w:tc>
      </w:tr>
      <w:tr>
        <w:trPr>
          <w:cantSplit w:val="0"/>
        </w:trPr>
        <w:tc>
          <w:tcPr>
            <w:tcW w:type="dxa" w:w="33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6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不能用单个企业家的观点替代行业证据。</w:t>
            </w:r>
          </w:p>
        </w:tc>
      </w:tr>
      <w:tr>
        <w:trPr>
          <w:cantSplit w:val="0"/>
        </w:trPr>
        <w:tc>
          <w:tcPr>
            <w:tcW w:type="dxa" w:w="33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6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宁德时代官网</w:t>
            </w:r>
          </w:p>
        </w:tc>
      </w:tr>
    </w:tbl>
    <w:bookmarkEnd w:id="30"/>
    <w:bookmarkStart w:id="31" w:name="section-24"/>
    <w:p>
      <w:pPr>
        <w:pStyle w:val="Heading3"/>
      </w:pPr>
      <w:r>
        <w:rPr>
          <w:rFonts w:hint="eastAsia"/>
        </w:rPr>
        <w:t xml:space="preserve">学习锚点：电网调度员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495"/>
        <w:gridCol w:w="6505"/>
      </w:tblGrid>
      <w:tr>
        <w:trPr>
          <w:tblHeader w:val="on"/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关键角色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代表性原因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储能是否有价值，最终取决于电力系统何时需要它充放电。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它说明的底层逻辑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调度逻辑决定储能从“设备”变成“系统资源”。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新人可学什么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学储能必须理解电网运行，而不是只懂电池参数。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不应过度推断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调度员是理解角色，不是单一商业主体。</w:t>
            </w:r>
          </w:p>
        </w:tc>
      </w:tr>
      <w:tr>
        <w:trPr>
          <w:cantSplit w:val="0"/>
        </w:trPr>
        <w:tc>
          <w:tcPr>
            <w:tcW w:type="dxa" w:w="349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65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国家能源局口径与电力系统常识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这些对象是学习锚点，不是公司排名，也不是投资建议。</w:t>
      </w:r>
    </w:p>
    <w:bookmarkEnd w:id="31"/>
    <w:bookmarkEnd w:id="32"/>
    <w:bookmarkStart w:id="42" w:name="section-25"/>
    <w:p>
      <w:pPr>
        <w:pStyle w:val="Heading2"/>
      </w:pPr>
      <w:r>
        <w:t xml:space="preserve">10. </w:t>
      </w:r>
      <w:r>
        <w:rPr>
          <w:rFonts w:hint="eastAsia"/>
        </w:rPr>
        <w:t xml:space="preserve">关键词库与概念关系图</w:t>
      </w:r>
    </w:p>
    <w:p>
      <w:pPr>
        <w:pStyle w:val="FirstParagraph"/>
      </w:pPr>
      <w:r>
        <w:rPr>
          <w:rFonts w:hint="eastAsia"/>
        </w:rPr>
        <w:t xml:space="preserve">关键词是进入行业的语言入口，但真正有用的不是背词，而是知道一个词为什么存在、解决什么问题、在哪里出现、会影响什么判断。下面的关键词卡片会用“通俗理解</w:t>
      </w:r>
      <w:r>
        <w:t xml:space="preserve"> -&gt; </w:t>
      </w:r>
      <w:r>
        <w:rPr>
          <w:rFonts w:hint="eastAsia"/>
        </w:rPr>
        <w:t xml:space="preserve">概念阐述</w:t>
      </w:r>
      <w:r>
        <w:t xml:space="preserve"> -&gt; </w:t>
      </w:r>
      <w:r>
        <w:rPr>
          <w:rFonts w:hint="eastAsia"/>
        </w:rPr>
        <w:t xml:space="preserve">底层逻辑</w:t>
      </w:r>
      <w:r>
        <w:t xml:space="preserve"> -&gt; </w:t>
      </w:r>
      <w:r>
        <w:rPr>
          <w:rFonts w:hint="eastAsia"/>
        </w:rPr>
        <w:t xml:space="preserve">真实应用”的方式展开。</w:t>
      </w:r>
    </w:p>
    <w:bookmarkStart w:id="33" w:name="section-26"/>
    <w:p>
      <w:pPr>
        <w:pStyle w:val="Heading3"/>
      </w:pPr>
      <w:r>
        <w:rPr>
          <w:rFonts w:hint="eastAsia"/>
        </w:rPr>
        <w:t xml:space="preserve">关键词分组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fixed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339"/>
        <w:gridCol w:w="7661"/>
      </w:tblGrid>
      <w:tr>
        <w:trPr>
          <w:tblHeader w:val="on"/>
          <w:cantSplit w:val="0"/>
        </w:trPr>
        <w:tc>
          <w:tcPr>
            <w:tcW w:type="dxa" w:w="2339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模块</w:t>
            </w:r>
          </w:p>
        </w:tc>
        <w:tc>
          <w:tcPr>
            <w:tcW w:type="dxa" w:w="76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关键词</w:t>
            </w:r>
          </w:p>
        </w:tc>
      </w:tr>
      <w:tr>
        <w:trPr>
          <w:cantSplit w:val="0"/>
        </w:trPr>
        <w:tc>
          <w:tcPr>
            <w:tcW w:type="dxa" w:w="2339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边界与分类</w:t>
            </w:r>
          </w:p>
        </w:tc>
        <w:tc>
          <w:tcPr>
            <w:tcW w:type="dxa" w:w="76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新型储能、抽水蓄能、独立储能、长时储能</w:t>
            </w:r>
          </w:p>
        </w:tc>
      </w:tr>
      <w:tr>
        <w:trPr>
          <w:cantSplit w:val="0"/>
        </w:trPr>
        <w:tc>
          <w:tcPr>
            <w:tcW w:type="dxa" w:w="2339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技术与设备</w:t>
            </w:r>
          </w:p>
        </w:tc>
        <w:tc>
          <w:tcPr>
            <w:tcW w:type="dxa" w:w="76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电芯、PCS、BMS、EMS、液流电池、压缩空气储能</w:t>
            </w:r>
          </w:p>
        </w:tc>
      </w:tr>
      <w:tr>
        <w:trPr>
          <w:cantSplit w:val="0"/>
        </w:trPr>
        <w:tc>
          <w:tcPr>
            <w:tcW w:type="dxa" w:w="2339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商业模式</w:t>
            </w:r>
          </w:p>
        </w:tc>
        <w:tc>
          <w:tcPr>
            <w:tcW w:type="dxa" w:w="76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峰谷套利、辅助服务、容量补偿、租赁模式</w:t>
            </w:r>
          </w:p>
        </w:tc>
      </w:tr>
      <w:tr>
        <w:trPr>
          <w:cantSplit w:val="0"/>
        </w:trPr>
        <w:tc>
          <w:tcPr>
            <w:tcW w:type="dxa" w:w="2339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运营指标</w:t>
            </w:r>
          </w:p>
        </w:tc>
        <w:tc>
          <w:tcPr>
            <w:tcW w:type="dxa" w:w="76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等效利用小时、可用率、循环寿命、LCOS</w:t>
            </w:r>
          </w:p>
        </w:tc>
      </w:tr>
      <w:tr>
        <w:trPr>
          <w:cantSplit w:val="0"/>
        </w:trPr>
        <w:tc>
          <w:tcPr>
            <w:tcW w:type="dxa" w:w="2339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>
            <w:tcW w:type="dxa" w:w="766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热失控、安全监测、并网验收、价格战</w:t>
            </w:r>
          </w:p>
        </w:tc>
      </w:tr>
    </w:tbl>
    <w:bookmarkEnd w:id="33"/>
    <w:bookmarkStart w:id="40" w:name="section-27"/>
    <w:p>
      <w:pPr>
        <w:pStyle w:val="Heading3"/>
      </w:pPr>
      <w:r>
        <w:rPr>
          <w:rFonts w:hint="eastAsia"/>
        </w:rPr>
        <w:t xml:space="preserve">关键词卡片</w:t>
      </w:r>
    </w:p>
    <w:bookmarkStart w:id="34" w:name="关键词新型储能"/>
    <w:p>
      <w:pPr>
        <w:pStyle w:val="Heading4"/>
      </w:pPr>
      <w:r>
        <w:rPr>
          <w:rFonts w:hint="eastAsia"/>
        </w:rPr>
        <w:t xml:space="preserve">关键词：新型储能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781"/>
        <w:gridCol w:w="7219"/>
      </w:tblGrid>
      <w:tr>
        <w:trPr>
          <w:tblHeader w:val="on"/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新型储能就是电力系统里的“可调度充电宝”，但它服务的是电网和大型用电场景。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国家能源局口径下，新型储能通常指除传统抽水蓄能以外的新型储能技术，用于充放电和系统调节。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风电、光伏出力不稳定，电力系统又必须实时平衡，所以需要一种能在电多时吸收、电少时释放的调节资源。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所属模块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边界与分类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决定统计口径、政策适用范围、研究边界和公司筛选范围。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锂离子电池储能、液流电池、压缩空气储能、飞轮储能。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应用场景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新能源基地配储、电网侧独立储能、工商业削峰填谷、微电网。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装机功率、储能容量、平均储能时长。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抽水蓄能、独立储能、长时储能。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常见误区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把所有电池产品都算作新型储能。</w:t>
            </w:r>
          </w:p>
        </w:tc>
      </w:tr>
      <w:tr>
        <w:trPr>
          <w:cantSplit w:val="0"/>
        </w:trPr>
        <w:tc>
          <w:tcPr>
            <w:tcW w:type="dxa" w:w="278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21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国家能源局、国务院英文网。</w:t>
            </w:r>
          </w:p>
        </w:tc>
      </w:tr>
    </w:tbl>
    <w:bookmarkEnd w:id="34"/>
    <w:bookmarkStart w:id="35" w:name="关键词独立储能"/>
    <w:p>
      <w:pPr>
        <w:pStyle w:val="Heading4"/>
      </w:pPr>
      <w:r>
        <w:rPr>
          <w:rFonts w:hint="eastAsia"/>
        </w:rPr>
        <w:t xml:space="preserve">关键词：独立储能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746"/>
        <w:gridCol w:w="7254"/>
      </w:tblGrid>
      <w:tr>
        <w:trPr>
          <w:tblHeader w:val="on"/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独立储能不是某个风光项目的“附属电池”，而是可以单独接受调度、参与市场的电站。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独立储能是作为独立主体接入电力系统、参与调峰、辅助服务或电力交易的储能资产。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如果储能只能跟着某个电源项目使用，价值会被限制；独立出来后，它可以在系统最需要调节能力的地方发挥作用。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所属模块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说明储能商业模式从“配套建设”向“独立调节资源和市场化收益”移动。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参与电力现货、调峰、辅助服务的共享储能或独立储能电站。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应用场景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电网侧调峰、辅助服务、电力现货价差、容量租赁。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累计装机占比、等效利用小时、市场收益。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共享储能、电网侧储能、辅助服务。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常见误区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只看装机，不看是否被调用。</w:t>
            </w:r>
          </w:p>
        </w:tc>
      </w:tr>
      <w:tr>
        <w:trPr>
          <w:cantSplit w:val="0"/>
        </w:trPr>
        <w:tc>
          <w:tcPr>
            <w:tcW w:type="dxa" w:w="274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25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</w:t>
            </w:r>
            <w:r>
              <w:t xml:space="preserve"> 2026-01-30 </w:t>
            </w:r>
            <w:r>
              <w:rPr>
                <w:rFonts w:hint="eastAsia"/>
              </w:rPr>
              <w:t xml:space="preserve">发布会。</w:t>
            </w:r>
          </w:p>
        </w:tc>
      </w:tr>
    </w:tbl>
    <w:bookmarkEnd w:id="35"/>
    <w:bookmarkStart w:id="36" w:name="关键词pcs"/>
    <w:p>
      <w:pPr>
        <w:pStyle w:val="Heading4"/>
      </w:pPr>
      <w:r>
        <w:rPr>
          <w:rFonts w:hint="eastAsia"/>
        </w:rPr>
        <w:t xml:space="preserve">关键词：PCS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951"/>
        <w:gridCol w:w="7049"/>
      </w:tblGrid>
      <w:tr>
        <w:trPr>
          <w:tblHeader w:val="on"/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PCS </w:t>
            </w:r>
            <w:r>
              <w:rPr>
                <w:rFonts w:hint="eastAsia"/>
              </w:rPr>
              <w:t xml:space="preserve">像储能系统和电网之间的“翻译器”，把电池能用的电变成电网能接收的电。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PCS </w:t>
            </w:r>
            <w:r>
              <w:rPr>
                <w:rFonts w:hint="eastAsia"/>
              </w:rPr>
              <w:t xml:space="preserve">是储能变流器，负责电池直流电与电网交流电之间的能量转换和控制。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电池和电网的电气形态不同，储能要并网、响应调度、稳定输出，就必须通过</w:t>
            </w:r>
            <w:r>
              <w:t xml:space="preserve"> PCS </w:t>
            </w:r>
            <w:r>
              <w:rPr>
                <w:rFonts w:hint="eastAsia"/>
              </w:rPr>
              <w:t xml:space="preserve">做转换和控制。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所属模块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技术与设备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影响并网能力、转换效率、响应速度、系统安全和电网友好性。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阳光电源等系统厂商在储能系统中把</w:t>
            </w:r>
            <w:r>
              <w:t xml:space="preserve"> </w:t>
            </w:r>
            <w:r>
              <w:rPr>
                <w:rFonts w:hint="eastAsia"/>
              </w:rPr>
              <w:t xml:space="preserve">PCS、锂电池和</w:t>
            </w:r>
            <w:r>
              <w:t xml:space="preserve"> EMS </w:t>
            </w:r>
            <w:r>
              <w:rPr>
                <w:rFonts w:hint="eastAsia"/>
              </w:rPr>
              <w:t xml:space="preserve">组合成解决方案。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应用场景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公用事业侧储能、工商业储能、构网型储能、微电网。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转换效率、响应时间、故障率。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BMS、EMS、逆变器。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常见误区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认为储能系统只有电芯重要。</w:t>
            </w:r>
          </w:p>
        </w:tc>
      </w:tr>
      <w:tr>
        <w:trPr>
          <w:cantSplit w:val="0"/>
        </w:trPr>
        <w:tc>
          <w:tcPr>
            <w:tcW w:type="dxa" w:w="295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04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行业设备资料与并网要求。</w:t>
            </w:r>
          </w:p>
        </w:tc>
      </w:tr>
    </w:tbl>
    <w:bookmarkEnd w:id="36"/>
    <w:bookmarkStart w:id="37" w:name="关键词ems"/>
    <w:p>
      <w:pPr>
        <w:pStyle w:val="Heading4"/>
      </w:pPr>
      <w:r>
        <w:rPr>
          <w:rFonts w:hint="eastAsia"/>
        </w:rPr>
        <w:t xml:space="preserve">关键词：EMS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23"/>
        <w:gridCol w:w="6977"/>
      </w:tblGrid>
      <w:tr>
        <w:trPr>
          <w:tblHeader w:val="on"/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EMS </w:t>
            </w:r>
            <w:r>
              <w:rPr>
                <w:rFonts w:hint="eastAsia"/>
              </w:rPr>
              <w:t xml:space="preserve">是储能电站的大脑，决定什么时候充电、什么时候放电、怎么参与市场。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EMS </w:t>
            </w:r>
            <w:r>
              <w:rPr>
                <w:rFonts w:hint="eastAsia"/>
              </w:rPr>
              <w:t xml:space="preserve">是能量管理系统，用于监控、优化和调度储能系统的运行策略。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储能本身不自动赚钱，只有在正确时间、正确场景执行充放电，才会产生系统价值和经济收益。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所属模块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软件与运营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连接设备运行、电网调度、电价变化和收益优化。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工商业储能用</w:t>
            </w:r>
            <w:r>
              <w:t xml:space="preserve"> EMS </w:t>
            </w:r>
            <w:r>
              <w:rPr>
                <w:rFonts w:hint="eastAsia"/>
              </w:rPr>
              <w:t xml:space="preserve">做削峰填谷；独立储能用</w:t>
            </w:r>
            <w:r>
              <w:t xml:space="preserve"> EMS </w:t>
            </w:r>
            <w:r>
              <w:rPr>
                <w:rFonts w:hint="eastAsia"/>
              </w:rPr>
              <w:t xml:space="preserve">配合调度和交易策略。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应用场景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电站调度优化、工商业能源管理、电力交易辅助、微电网控制。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等效利用小时、收益率、可用率。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BMS、SCADA、电力交易。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常见误区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把</w:t>
            </w:r>
            <w:r>
              <w:t xml:space="preserve"> EMS </w:t>
            </w:r>
            <w:r>
              <w:rPr>
                <w:rFonts w:hint="eastAsia"/>
              </w:rPr>
              <w:t xml:space="preserve">当作简单监控后台。</w:t>
            </w:r>
          </w:p>
        </w:tc>
      </w:tr>
      <w:tr>
        <w:trPr>
          <w:cantSplit w:val="0"/>
        </w:trPr>
        <w:tc>
          <w:tcPr>
            <w:tcW w:type="dxa" w:w="302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97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市场化调用和运营需求。</w:t>
            </w:r>
          </w:p>
        </w:tc>
      </w:tr>
    </w:tbl>
    <w:bookmarkEnd w:id="37"/>
    <w:bookmarkStart w:id="38" w:name="关键词等效利用小时"/>
    <w:p>
      <w:pPr>
        <w:pStyle w:val="Heading4"/>
      </w:pPr>
      <w:r>
        <w:rPr>
          <w:rFonts w:hint="eastAsia"/>
        </w:rPr>
        <w:t xml:space="preserve">关键词：等效利用小时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113"/>
        <w:gridCol w:w="6887"/>
      </w:tblGrid>
      <w:tr>
        <w:trPr>
          <w:tblHeader w:val="on"/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等效利用小时告诉你：这个储能电站不是只建在那里，而是真的被用了多久。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等效利用小时是衡量储能资产实际调用程度和运行强度的指标。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储能是资本密集资产，装机越多不等于价值越大；只有被调用、被结算，才可能形成收益。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所属模块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运营指标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帮助判断电站利用率、收益潜力和调度价值。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国家能源局披露</w:t>
            </w:r>
            <w:r>
              <w:t xml:space="preserve"> 2025 </w:t>
            </w:r>
            <w:r>
              <w:rPr>
                <w:rFonts w:hint="eastAsia"/>
              </w:rPr>
              <w:t xml:space="preserve">年全国新型储能等效利用小时数达</w:t>
            </w:r>
            <w:r>
              <w:t xml:space="preserve"> 1195 </w:t>
            </w:r>
            <w:r>
              <w:rPr>
                <w:rFonts w:hint="eastAsia"/>
              </w:rPr>
              <w:t xml:space="preserve">小时。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应用场景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项目投资评估、运营复盘、地方市场规则比较。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年等效利用小时、充放电次数。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可用率、循环次数、收益率。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常见误区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装得多就等于用得好。</w:t>
            </w:r>
          </w:p>
        </w:tc>
      </w:tr>
      <w:tr>
        <w:trPr>
          <w:cantSplit w:val="0"/>
        </w:trPr>
        <w:tc>
          <w:tcPr>
            <w:tcW w:type="dxa" w:w="311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688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</w:t>
            </w:r>
            <w:r>
              <w:t xml:space="preserve"> 2026-01-30 </w:t>
            </w:r>
            <w:r>
              <w:rPr>
                <w:rFonts w:hint="eastAsia"/>
              </w:rPr>
              <w:t xml:space="preserve">发布会。</w:t>
            </w:r>
          </w:p>
        </w:tc>
      </w:tr>
    </w:tbl>
    <w:bookmarkEnd w:id="38"/>
    <w:bookmarkStart w:id="39" w:name="关键词长时储能"/>
    <w:p>
      <w:pPr>
        <w:pStyle w:val="Heading4"/>
      </w:pPr>
      <w:r>
        <w:rPr>
          <w:rFonts w:hint="eastAsia"/>
        </w:rPr>
        <w:t xml:space="preserve">关键词：长时储能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833"/>
        <w:gridCol w:w="7167"/>
      </w:tblGrid>
      <w:tr>
        <w:trPr>
          <w:tblHeader w:val="on"/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字段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一句话通俗理解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长时储能像更大容量、更能扛时间的“电力缓冲垫”，用来处理更长周期的供需错配。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概念阐述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长时储能通常指持续放电时间更长、服务更长周期电力平衡的储能方案。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底层逻辑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当新能源占比越来越高，系统不仅需要分钟级和小时级调节，也需要跨更长时段的能量搬移能力。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所属模块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技术趋势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作用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影响技术路线选择、电网调节能力规划和未来投资方向。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行业真实示例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4小时及以上储能项目、液流电池、压缩空气储能。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应用场景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新能源基地、弱电网区域、长周期调峰、容量资源补充。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可观察指标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4小时及以上项目占比、单位容量成本、效率。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相关概念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短时储能、调峰、容量资源。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常见误区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认为长时储能会立刻替代锂电短时储能。</w:t>
            </w:r>
          </w:p>
        </w:tc>
      </w:tr>
      <w:tr>
        <w:trPr>
          <w:cantSplit w:val="0"/>
        </w:trPr>
        <w:tc>
          <w:tcPr>
            <w:tcW w:type="dxa" w:w="283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证据</w:t>
            </w:r>
          </w:p>
        </w:tc>
        <w:tc>
          <w:tcPr>
            <w:tcW w:type="dxa" w:w="7167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</w:t>
            </w:r>
            <w:r>
              <w:t xml:space="preserve"> 2025 </w:t>
            </w:r>
            <w:r>
              <w:rPr>
                <w:rFonts w:hint="eastAsia"/>
              </w:rPr>
              <w:t xml:space="preserve">年底</w:t>
            </w:r>
            <w:r>
              <w:t xml:space="preserve"> </w:t>
            </w:r>
            <w:r>
              <w:rPr>
                <w:rFonts w:hint="eastAsia"/>
              </w:rPr>
              <w:t xml:space="preserve">4小时及以上项目占比数据。</w:t>
            </w:r>
          </w:p>
        </w:tc>
      </w:tr>
    </w:tbl>
    <w:bookmarkEnd w:id="39"/>
    <w:bookmarkEnd w:id="40"/>
    <w:bookmarkStart w:id="41" w:name="section-28"/>
    <w:p>
      <w:pPr>
        <w:pStyle w:val="Heading3"/>
      </w:pPr>
      <w:r>
        <w:rPr>
          <w:rFonts w:hint="eastAsia"/>
        </w:rPr>
        <w:t xml:space="preserve">概念关系图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A["新能源高占比"]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B["电力系统波动增加"]</w:t>
      </w:r>
      <w:r>
        <w:br/>
      </w:r>
      <w:r>
        <w:rPr>
          <w:rStyle w:val="VerbatimChar"/>
        </w:rPr>
        <w:t xml:space="preserve">  B --&gt; </w:t>
      </w:r>
      <w:r>
        <w:rPr>
          <w:rStyle w:val="VerbatimChar"/>
          <w:rFonts w:hint="eastAsia"/>
        </w:rPr>
        <w:t xml:space="preserve">C["调节能力需求"]</w:t>
      </w:r>
      <w:r>
        <w:br/>
      </w:r>
      <w:r>
        <w:rPr>
          <w:rStyle w:val="VerbatimChar"/>
        </w:rPr>
        <w:t xml:space="preserve">  C --&gt; </w:t>
      </w:r>
      <w:r>
        <w:rPr>
          <w:rStyle w:val="VerbatimChar"/>
          <w:rFonts w:hint="eastAsia"/>
        </w:rPr>
        <w:t xml:space="preserve">D["新型储能"]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E["设备价值链"]</w:t>
      </w:r>
      <w:r>
        <w:br/>
      </w:r>
      <w:r>
        <w:rPr>
          <w:rStyle w:val="VerbatimChar"/>
        </w:rPr>
        <w:t xml:space="preserve">  D --&gt; </w:t>
      </w:r>
      <w:r>
        <w:rPr>
          <w:rStyle w:val="VerbatimChar"/>
          <w:rFonts w:hint="eastAsia"/>
        </w:rPr>
        <w:t xml:space="preserve">F["电站运营"]</w:t>
      </w:r>
      <w:r>
        <w:br/>
      </w:r>
      <w:r>
        <w:rPr>
          <w:rStyle w:val="VerbatimChar"/>
        </w:rPr>
        <w:t xml:space="preserve">  F --&gt; </w:t>
      </w:r>
      <w:r>
        <w:rPr>
          <w:rStyle w:val="VerbatimChar"/>
          <w:rFonts w:hint="eastAsia"/>
        </w:rPr>
        <w:t xml:space="preserve">G["调度与电力市场收益"]</w:t>
      </w:r>
      <w:r>
        <w:br/>
      </w:r>
      <w:r>
        <w:rPr>
          <w:rStyle w:val="VerbatimChar"/>
        </w:rPr>
        <w:t xml:space="preserve">  G --&gt; </w:t>
      </w:r>
      <w:r>
        <w:rPr>
          <w:rStyle w:val="VerbatimChar"/>
          <w:rFonts w:hint="eastAsia"/>
        </w:rPr>
        <w:t xml:space="preserve">H["等效利用小时与项目回报"]</w:t>
      </w:r>
    </w:p>
    <w:bookmarkEnd w:id="41"/>
    <w:bookmarkEnd w:id="42"/>
    <w:bookmarkStart w:id="43" w:name="section-29"/>
    <w:p>
      <w:pPr>
        <w:pStyle w:val="Heading2"/>
      </w:pPr>
      <w:r>
        <w:t xml:space="preserve">11. </w:t>
      </w:r>
      <w:r>
        <w:rPr>
          <w:rFonts w:hint="eastAsia"/>
        </w:rPr>
        <w:t xml:space="preserve">专家学习教程</w:t>
      </w:r>
    </w:p>
    <w:p>
      <w:pPr>
        <w:pStyle w:val="FirstParagraph"/>
      </w:pPr>
      <w:r>
        <w:rPr>
          <w:rFonts w:hint="eastAsia"/>
        </w:rPr>
        <w:t xml:space="preserve">前面是研究报告式的展开，这一节把它改写成学习路径。你可以按模块逐步学习，也可以把它当成团队新人培训的大纲：每一行都对应一个学习目标、核心概念、练习和检查标准。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761"/>
        <w:gridCol w:w="1305"/>
        <w:gridCol w:w="1943"/>
        <w:gridCol w:w="4206"/>
        <w:gridCol w:w="1785"/>
      </w:tblGrid>
      <w:tr>
        <w:trPr>
          <w:tblHeader w:val="on"/>
          <w:cantSplit w:val="0"/>
        </w:trPr>
        <w:tc>
          <w:tcPr>
            <w:tcW w:type="dxa" w:w="76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模块</w:t>
            </w:r>
          </w:p>
        </w:tc>
        <w:tc>
          <w:tcPr>
            <w:tcW w:type="dxa" w:w="13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学习目标</w:t>
            </w:r>
          </w:p>
        </w:tc>
        <w:tc>
          <w:tcPr>
            <w:tcW w:type="dxa" w:w="1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核心概念</w:t>
            </w:r>
          </w:p>
        </w:tc>
        <w:tc>
          <w:tcPr>
            <w:tcW w:type="dxa" w:w="42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通俗示例与练习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成功检查</w:t>
            </w:r>
          </w:p>
        </w:tc>
      </w:tr>
      <w:tr>
        <w:trPr>
          <w:cantSplit w:val="0"/>
        </w:trPr>
        <w:tc>
          <w:tcPr>
            <w:tcW w:type="dxa" w:w="76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1. </w:t>
            </w:r>
            <w:r>
              <w:rPr>
                <w:rFonts w:hint="eastAsia"/>
              </w:rPr>
              <w:t xml:space="preserve">定义与边界</w:t>
            </w:r>
          </w:p>
        </w:tc>
        <w:tc>
          <w:tcPr>
            <w:tcW w:type="dxa" w:w="13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知道新型储能是什么</w:t>
            </w:r>
          </w:p>
        </w:tc>
        <w:tc>
          <w:tcPr>
            <w:tcW w:type="dxa" w:w="1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新型储能、抽水蓄能、应用场景</w:t>
            </w:r>
          </w:p>
        </w:tc>
        <w:tc>
          <w:tcPr>
            <w:tcW w:type="dxa" w:w="42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把新型储能理解成电网级“充电宝”，但要补充它需要调度和并网规则；练习：用3句话解释新型储能。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不把动力电池和储能电站混为一谈</w:t>
            </w:r>
          </w:p>
        </w:tc>
      </w:tr>
      <w:tr>
        <w:trPr>
          <w:cantSplit w:val="0"/>
        </w:trPr>
        <w:tc>
          <w:tcPr>
            <w:tcW w:type="dxa" w:w="76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2. </w:t>
            </w:r>
            <w:r>
              <w:rPr>
                <w:rFonts w:hint="eastAsia"/>
              </w:rPr>
              <w:t xml:space="preserve">价值链</w:t>
            </w:r>
          </w:p>
        </w:tc>
        <w:tc>
          <w:tcPr>
            <w:tcW w:type="dxa" w:w="13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看懂谁参与、谁赚钱</w:t>
            </w:r>
          </w:p>
        </w:tc>
        <w:tc>
          <w:tcPr>
            <w:tcW w:type="dxa" w:w="1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电芯、PCS、BMS、EMS、集成、运营</w:t>
            </w:r>
          </w:p>
        </w:tc>
        <w:tc>
          <w:tcPr>
            <w:tcW w:type="dxa" w:w="42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宁德时代更偏电芯和系统能力，阳光电源更能说明</w:t>
            </w:r>
            <w:r>
              <w:t xml:space="preserve"> </w:t>
            </w:r>
            <w:r>
              <w:rPr>
                <w:rFonts w:hint="eastAsia"/>
              </w:rPr>
              <w:t xml:space="preserve">PCS/系统集成逻辑；练习：画一张从电芯到电站收益的链条。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能说出至少5类企业角色</w:t>
            </w:r>
          </w:p>
        </w:tc>
      </w:tr>
      <w:tr>
        <w:trPr>
          <w:cantSplit w:val="0"/>
        </w:trPr>
        <w:tc>
          <w:tcPr>
            <w:tcW w:type="dxa" w:w="76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3. </w:t>
            </w:r>
            <w:r>
              <w:rPr>
                <w:rFonts w:hint="eastAsia"/>
              </w:rPr>
              <w:t xml:space="preserve">技术路线</w:t>
            </w:r>
          </w:p>
        </w:tc>
        <w:tc>
          <w:tcPr>
            <w:tcW w:type="dxa" w:w="13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理解主流和替代</w:t>
            </w:r>
          </w:p>
        </w:tc>
        <w:tc>
          <w:tcPr>
            <w:tcW w:type="dxa" w:w="1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锂电、液流、压缩空气、长时储能</w:t>
            </w:r>
          </w:p>
        </w:tc>
        <w:tc>
          <w:tcPr>
            <w:tcW w:type="dxa" w:w="42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锂电像成熟主力车型，液流/压缩空气像特定长途场景的候选方案；练习：比较锂电和液流适合的场景。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能解释为什么锂电主导但长时储能值得看</w:t>
            </w:r>
          </w:p>
        </w:tc>
      </w:tr>
      <w:tr>
        <w:trPr>
          <w:cantSplit w:val="0"/>
        </w:trPr>
        <w:tc>
          <w:tcPr>
            <w:tcW w:type="dxa" w:w="76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4. </w:t>
            </w:r>
            <w:r>
              <w:rPr>
                <w:rFonts w:hint="eastAsia"/>
              </w:rPr>
              <w:t xml:space="preserve">商业模式</w:t>
            </w:r>
          </w:p>
        </w:tc>
        <w:tc>
          <w:tcPr>
            <w:tcW w:type="dxa" w:w="13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理解收益来自哪里</w:t>
            </w:r>
          </w:p>
        </w:tc>
        <w:tc>
          <w:tcPr>
            <w:tcW w:type="dxa" w:w="1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峰谷套利、辅助服务、容量补偿</w:t>
            </w:r>
          </w:p>
        </w:tc>
        <w:tc>
          <w:tcPr>
            <w:tcW w:type="dxa" w:w="42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独立储能像“电网调节服务商”，不是只卖设备；练习：分析一个独立储能项目的收入来源。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不只看装机规模</w:t>
            </w:r>
          </w:p>
        </w:tc>
      </w:tr>
      <w:tr>
        <w:trPr>
          <w:cantSplit w:val="0"/>
        </w:trPr>
        <w:tc>
          <w:tcPr>
            <w:tcW w:type="dxa" w:w="761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5. </w:t>
            </w:r>
            <w:r>
              <w:rPr>
                <w:rFonts w:hint="eastAsia"/>
              </w:rPr>
              <w:t xml:space="preserve">风险判断</w:t>
            </w:r>
          </w:p>
        </w:tc>
        <w:tc>
          <w:tcPr>
            <w:tcW w:type="dxa" w:w="130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识别行业不确定性</w:t>
            </w:r>
          </w:p>
        </w:tc>
        <w:tc>
          <w:tcPr>
            <w:tcW w:type="dxa" w:w="1943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安全、利用小时、价格战、市场机制</w:t>
            </w:r>
          </w:p>
        </w:tc>
        <w:tc>
          <w:tcPr>
            <w:tcW w:type="dxa" w:w="420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等效利用小时像出租车的载客时长，车买了不跑就没有收入；练习：列出3个投资或创业风险。</w:t>
            </w:r>
          </w:p>
        </w:tc>
        <w:tc>
          <w:tcPr>
            <w:tcW w:type="dxa" w:w="1785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每个风险能给出观察指标</w:t>
            </w:r>
          </w:p>
        </w:tc>
      </w:tr>
    </w:tbl>
    <w:bookmarkEnd w:id="43"/>
    <w:bookmarkStart w:id="44" w:name="section-30"/>
    <w:p>
      <w:pPr>
        <w:pStyle w:val="Heading2"/>
      </w:pPr>
      <w:r>
        <w:t xml:space="preserve">12. </w:t>
      </w:r>
      <w:r>
        <w:rPr>
          <w:rFonts w:hint="eastAsia"/>
        </w:rPr>
        <w:t xml:space="preserve">费曼问题、参考答案与评分</w:t>
      </w:r>
    </w:p>
    <w:p>
      <w:pPr>
        <w:pStyle w:val="FirstParagraph"/>
      </w:pPr>
      <w:r>
        <w:rPr>
          <w:rFonts w:hint="eastAsia"/>
        </w:rPr>
        <w:t xml:space="preserve">如果一个概念不能用自己的话讲出来，通常说明还没有真正理解。下面的问题不是为了考试，而是为了暴露理解断点。回答时尽量少堆术语，多用例子、因果关系和反例。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664"/>
        <w:gridCol w:w="2174"/>
        <w:gridCol w:w="6316"/>
        <w:gridCol w:w="846"/>
      </w:tblGrid>
      <w:tr>
        <w:trPr>
          <w:tblHeader w:val="on"/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rPr>
                <w:rFonts w:hint="eastAsia"/>
              </w:rPr>
              <w:t xml:space="preserve">题号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问题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参考答案要点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1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用3句话解释新型储能行业。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除抽水蓄能外的储能技术；服务电力系统调节；价值来自新能源消纳、保供和市场收益。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2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新型储能和动力电池行业有什么不同。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应用对象、客户、评价指标、商业模式不同。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3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画出储能价值链。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电芯/设备、系统集成、建设、并网、运营、交易、运维。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4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为什么独立储能重要。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它把储能从配套资产变成可被调度和交易的独立资源。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5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行业处在什么生命周期阶段。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整体成长期；短时锂电成熟度更高；长时储能偏早期。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6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利润或价值可能集中在哪里。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设备规模化、软件调度、交易运营、安全运维、项目开发。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7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进入这个行业最难的3件事是什么。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安全可靠性、项目资源和资质、电力市场收益理解。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8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如果创业，你会选哪个切入点。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示例：EMS/交易运营、安全监测、工商业储能运维；理由需匹配能力和客户。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9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未来3年最大变量是什么。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市场化调用和收益机制；跟踪利用小时、地方规则、辅助服务收益。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  <w:tr>
        <w:trPr>
          <w:cantSplit w:val="0"/>
        </w:trPr>
        <w:tc>
          <w:tcPr>
            <w:tcW w:type="dxa" w:w="664"/>
            <w:vAlign w:val="top"/>
          </w:tcPr>
          <w:p>
            <w:pPr>
              <w:pStyle w:val="Compact"/>
              <w:jc w:val="center"/>
              <w:spacing w:before="0" w:after="0" w:line="240" w:lineRule="auto"/>
            </w:pPr>
            <w:r>
              <w:t xml:space="preserve">10</w:t>
            </w:r>
          </w:p>
        </w:tc>
        <w:tc>
          <w:tcPr>
            <w:tcW w:type="dxa" w:w="2174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用外行类比解释。</w:t>
            </w:r>
          </w:p>
        </w:tc>
        <w:tc>
          <w:tcPr>
            <w:tcW w:type="dxa" w:w="6316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储能像电网的“充电宝”，但比充电宝复杂，因为它要服从调度、安全和市场规则。</w:t>
            </w:r>
          </w:p>
        </w:tc>
        <w:tc>
          <w:tcPr>
            <w:tcW w:type="dxa" w:w="84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0-5</w:t>
            </w:r>
          </w:p>
        </w:tc>
      </w:tr>
    </w:tbl>
    <w:bookmarkEnd w:id="44"/>
    <w:bookmarkStart w:id="45" w:name="section-31"/>
    <w:p>
      <w:pPr>
        <w:pStyle w:val="Heading2"/>
      </w:pPr>
      <w:r>
        <w:t xml:space="preserve">13. </w:t>
      </w:r>
      <w:r>
        <w:rPr>
          <w:rFonts w:hint="eastAsia"/>
        </w:rPr>
        <w:t xml:space="preserve">机会、风险与验证清单</w:t>
      </w:r>
    </w:p>
    <w:p>
      <w:pPr>
        <w:pStyle w:val="FirstParagraph"/>
      </w:pPr>
      <w:r>
        <w:rPr>
          <w:rFonts w:hint="eastAsia"/>
        </w:rPr>
        <w:t xml:space="preserve">理解行业以后，需要把学习转成下一步行动。这里把机会、风险和待验证问题放在一起，是为了提醒读者：有些判断可以作为方向，有些判断必须先找到项目、价格、规则或客户证据。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1710"/>
        <w:gridCol w:w="2932"/>
        <w:gridCol w:w="896"/>
        <w:gridCol w:w="4462"/>
      </w:tblGrid>
      <w:tr>
        <w:trPr>
          <w:tblHeader w:val="on"/>
          <w:cantSplit w:val="0"/>
        </w:trPr>
        <w:tc>
          <w:tcPr>
            <w:tcW w:type="dxa" w:w="171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type="dxa" w:w="293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tcW w:type="dxa" w:w="89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>
            <w:tcW w:type="dxa" w:w="446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下一步验证</w:t>
            </w:r>
          </w:p>
        </w:tc>
      </w:tr>
      <w:tr>
        <w:trPr>
          <w:cantSplit w:val="0"/>
        </w:trPr>
        <w:tc>
          <w:tcPr>
            <w:tcW w:type="dxa" w:w="171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机会</w:t>
            </w:r>
          </w:p>
        </w:tc>
        <w:tc>
          <w:tcPr>
            <w:tcW w:type="dxa" w:w="293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EMS、交易运营、安全监测、运维服务</w:t>
            </w:r>
          </w:p>
        </w:tc>
        <w:tc>
          <w:tcPr>
            <w:tcW w:type="dxa" w:w="89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>
            <w:tcW w:type="dxa" w:w="446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找3个省份比较电力市场规则</w:t>
            </w:r>
          </w:p>
        </w:tc>
      </w:tr>
      <w:tr>
        <w:trPr>
          <w:cantSplit w:val="0"/>
        </w:trPr>
        <w:tc>
          <w:tcPr>
            <w:tcW w:type="dxa" w:w="171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机会</w:t>
            </w:r>
          </w:p>
        </w:tc>
        <w:tc>
          <w:tcPr>
            <w:tcW w:type="dxa" w:w="293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工商业储能的场景化方案</w:t>
            </w:r>
          </w:p>
        </w:tc>
        <w:tc>
          <w:tcPr>
            <w:tcW w:type="dxa" w:w="89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tcW w:type="dxa" w:w="446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核算峰谷价差和用户负荷曲线</w:t>
            </w:r>
          </w:p>
        </w:tc>
      </w:tr>
      <w:tr>
        <w:trPr>
          <w:cantSplit w:val="0"/>
        </w:trPr>
        <w:tc>
          <w:tcPr>
            <w:tcW w:type="dxa" w:w="171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>
            <w:tcW w:type="dxa" w:w="293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只看装机，不看调用</w:t>
            </w:r>
          </w:p>
        </w:tc>
        <w:tc>
          <w:tcPr>
            <w:tcW w:type="dxa" w:w="89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>
            <w:tcW w:type="dxa" w:w="446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跟踪等效利用小时和收益结算</w:t>
            </w:r>
          </w:p>
        </w:tc>
      </w:tr>
      <w:tr>
        <w:trPr>
          <w:cantSplit w:val="0"/>
        </w:trPr>
        <w:tc>
          <w:tcPr>
            <w:tcW w:type="dxa" w:w="171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>
            <w:tcW w:type="dxa" w:w="293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价格战压低设备质量</w:t>
            </w:r>
          </w:p>
        </w:tc>
        <w:tc>
          <w:tcPr>
            <w:tcW w:type="dxa" w:w="89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tcW w:type="dxa" w:w="446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看质保、事故、验收和退役数据</w:t>
            </w:r>
          </w:p>
        </w:tc>
      </w:tr>
      <w:tr>
        <w:trPr>
          <w:cantSplit w:val="0"/>
        </w:trPr>
        <w:tc>
          <w:tcPr>
            <w:tcW w:type="dxa" w:w="1710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待验证</w:t>
            </w:r>
          </w:p>
        </w:tc>
        <w:tc>
          <w:tcPr>
            <w:tcW w:type="dxa" w:w="293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长时储能经济性</w:t>
            </w:r>
          </w:p>
        </w:tc>
        <w:tc>
          <w:tcPr>
            <w:tcW w:type="dxa" w:w="896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>
            <w:tcW w:type="dxa" w:w="4462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比较</w:t>
            </w:r>
            <w:r>
              <w:t xml:space="preserve"> </w:t>
            </w:r>
            <w:r>
              <w:rPr>
                <w:rFonts w:hint="eastAsia"/>
              </w:rPr>
              <w:t xml:space="preserve">4小时以上项目的成本和应用场景</w:t>
            </w:r>
          </w:p>
        </w:tc>
      </w:tr>
    </w:tbl>
    <w:bookmarkEnd w:id="45"/>
    <w:bookmarkStart w:id="46" w:name="section-32"/>
    <w:p>
      <w:pPr>
        <w:pStyle w:val="Heading2"/>
      </w:pPr>
      <w:r>
        <w:t xml:space="preserve">14. </w:t>
      </w:r>
      <w:r>
        <w:rPr>
          <w:rFonts w:hint="eastAsia"/>
        </w:rPr>
        <w:t xml:space="preserve">不确定性日志</w:t>
      </w:r>
    </w:p>
    <w:p>
      <w:pPr>
        <w:pStyle w:val="FirstParagraph"/>
      </w:pPr>
      <w:r>
        <w:rPr>
          <w:rFonts w:hint="eastAsia"/>
        </w:rPr>
        <w:t xml:space="preserve">行业研究里有些问题暂时无法给出确定答案。与其假装确定，不如把不确定性单独列出来，说明为什么不确定、缺什么证据、下一步应该怎么验证。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2500"/>
        <w:gridCol w:w="2500"/>
        <w:gridCol w:w="2500"/>
        <w:gridCol w:w="2500"/>
      </w:tblGrid>
      <w:tr>
        <w:trPr>
          <w:tblHeader w:val="on"/>
          <w:cantSplit w:val="0"/>
        </w:trPr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问题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为什么不确定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需要什么证据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建议验证方法</w:t>
            </w:r>
          </w:p>
        </w:tc>
      </w:tr>
      <w:tr>
        <w:trPr>
          <w:cantSplit w:val="0"/>
        </w:trPr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独立储能项目真实收益率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地方市场规则和调用频率差异大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项目收益结算、辅助服务价格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做省份案例拆解</w:t>
            </w:r>
          </w:p>
        </w:tc>
      </w:tr>
      <w:tr>
        <w:trPr>
          <w:cantSplit w:val="0"/>
        </w:trPr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长时储能商业化速度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技术路线和成本仍在变化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示范项目运行数据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跟踪</w:t>
            </w:r>
            <w:r>
              <w:t xml:space="preserve"> </w:t>
            </w:r>
            <w:r>
              <w:rPr>
                <w:rFonts w:hint="eastAsia"/>
              </w:rPr>
              <w:t xml:space="preserve">4小时以上项目招标和运行</w:t>
            </w:r>
          </w:p>
        </w:tc>
      </w:tr>
      <w:tr>
        <w:trPr>
          <w:cantSplit w:val="0"/>
        </w:trPr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设备价格战对安全的影响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公开事故和质量数据有限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事故、召回、验收失败数据</w:t>
            </w:r>
          </w:p>
        </w:tc>
        <w:tc>
          <w:tcPr>
            <w:tcW w:type="dxa" w:w="2500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结合监管通报和保险数据</w:t>
            </w:r>
          </w:p>
        </w:tc>
      </w:tr>
    </w:tbl>
    <w:bookmarkEnd w:id="46"/>
    <w:bookmarkStart w:id="56" w:name="section-33"/>
    <w:p>
      <w:pPr>
        <w:pStyle w:val="Heading2"/>
      </w:pPr>
      <w:r>
        <w:t xml:space="preserve">15. </w:t>
      </w:r>
      <w:r>
        <w:rPr>
          <w:rFonts w:hint="eastAsia"/>
        </w:rPr>
        <w:t xml:space="preserve">参考资料</w:t>
      </w:r>
    </w:p>
    <w:p>
      <w:pPr>
        <w:pStyle w:val="FirstParagraph"/>
      </w:pPr>
      <w:r>
        <w:rPr>
          <w:rFonts w:hint="eastAsia"/>
        </w:rPr>
        <w:t xml:space="preserve">参考资料不是装饰，它决定了报告里哪些内容更可信。这里把主要来源放在最后，方便读者继续追溯原始材料，也方便检查关键判断的证据基础。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ellMar>
          <w:top w:type="dxa" w:w="70"/>
          <w:bottom w:type="dxa" w:w="70"/>
          <w:left w:type="dxa" w:w="90"/>
          <w:right w:type="dxa" w:w="90"/>
        </w:tblCellMar>
      </w:tblPr>
      <w:tblGrid>
        <w:gridCol w:w="3029"/>
        <w:gridCol w:w="2131"/>
        <w:gridCol w:w="1598"/>
        <w:gridCol w:w="2309"/>
        <w:gridCol w:w="933"/>
      </w:tblGrid>
      <w:tr>
        <w:trPr>
          <w:tblHeader w:val="on"/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来源</w:t>
            </w:r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发布方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用途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rPr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hyperlink ns1:id="rId47">
              <w:r>
                <w:rPr>
                  <w:rStyle w:val="Hyperlink"/>
                  <w:rFonts w:hint="eastAsia"/>
                </w:rPr>
                <w:t xml:space="preserve">国家能源局举行新闻发布会介绍2025年新型储能发展情况</w:t>
              </w:r>
            </w:hyperlink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2026-01-30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2025 </w:t>
            </w:r>
            <w:r>
              <w:rPr>
                <w:rFonts w:hint="eastAsia"/>
              </w:rPr>
              <w:t xml:space="preserve">年装机、技术占比、场景、利用小时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hyperlink ns1:id="rId48">
              <w:r>
                <w:rPr>
                  <w:rStyle w:val="Hyperlink"/>
                </w:rPr>
                <w:t xml:space="preserve">China’s new energy storage capacity exceeds 70 million KW</w:t>
              </w:r>
            </w:hyperlink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中国政府网英文版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2025-01-24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新型储能定义、2024</w:t>
            </w:r>
            <w:r>
              <w:t xml:space="preserve"> </w:t>
            </w:r>
            <w:r>
              <w:rPr>
                <w:rFonts w:hint="eastAsia"/>
              </w:rPr>
              <w:t xml:space="preserve">年装机与投资信号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hyperlink ns1:id="rId49">
              <w:r>
                <w:rPr>
                  <w:rStyle w:val="Hyperlink"/>
                  <w:rFonts w:hint="eastAsia"/>
                </w:rPr>
                <w:t xml:space="preserve">《新型储能规模化建设专项行动方案（2025—2027年）》通知</w:t>
              </w:r>
            </w:hyperlink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国家发展改革委、国家能源局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2025-09-12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政策方向和</w:t>
            </w:r>
            <w:r>
              <w:t xml:space="preserve"> 2025-2027 </w:t>
            </w:r>
            <w:r>
              <w:rPr>
                <w:rFonts w:hint="eastAsia"/>
              </w:rPr>
              <w:t xml:space="preserve">窗口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hyperlink ns1:id="rId50">
              <w:r>
                <w:rPr>
                  <w:rStyle w:val="Hyperlink"/>
                  <w:rFonts w:hint="eastAsia"/>
                </w:rPr>
                <w:t xml:space="preserve">中国新型储能发展报告2025</w:t>
              </w:r>
            </w:hyperlink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国家能源局能源节约和科技装备司、电力规划设计总院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2025-07-31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政策脉络、标准、安全和技术路线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high</w:t>
            </w:r>
          </w:p>
        </w:tc>
      </w:tr>
      <w:tr>
        <w:trPr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hyperlink ns1:id="rId51">
              <w:r>
                <w:rPr>
                  <w:rStyle w:val="Hyperlink"/>
                  <w:rFonts w:hint="eastAsia"/>
                </w:rPr>
                <w:t xml:space="preserve">宁德时代企业简介</w:t>
              </w:r>
            </w:hyperlink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宁德时代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访问日期</w:t>
            </w:r>
            <w:r>
              <w:t xml:space="preserve"> 2026-06-03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典型公司和储能系统业务锚点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hyperlink ns1:id="rId52">
              <w:r>
                <w:rPr>
                  <w:rStyle w:val="Hyperlink"/>
                  <w:rFonts w:hint="eastAsia"/>
                </w:rPr>
                <w:t xml:space="preserve">比亚迪储能官网</w:t>
              </w:r>
            </w:hyperlink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比亚迪储能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访问日期</w:t>
            </w:r>
            <w:r>
              <w:t xml:space="preserve"> 2026-06-03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源网侧、工商业、微电网等场景锚点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hyperlink ns1:id="rId53">
              <w:r>
                <w:rPr>
                  <w:rStyle w:val="Hyperlink"/>
                </w:rPr>
                <w:t xml:space="preserve">Sungrow Energy Storage System</w:t>
              </w:r>
            </w:hyperlink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阳光电源</w:t>
            </w:r>
            <w:r>
              <w:t xml:space="preserve"> Sungrow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访问日期</w:t>
            </w:r>
            <w:r>
              <w:t xml:space="preserve"> 2026-06-03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PCS、锂电池、EMS</w:t>
            </w:r>
            <w:r>
              <w:t xml:space="preserve"> </w:t>
            </w:r>
            <w:r>
              <w:rPr>
                <w:rFonts w:hint="eastAsia"/>
              </w:rPr>
              <w:t xml:space="preserve">和系统集成锚点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hyperlink ns1:id="rId54">
              <w:r>
                <w:rPr>
                  <w:rStyle w:val="Hyperlink"/>
                  <w:rFonts w:hint="eastAsia"/>
                </w:rPr>
                <w:t xml:space="preserve">南方电网储能股份有限公司官网</w:t>
              </w:r>
            </w:hyperlink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南网储能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访问日期</w:t>
            </w:r>
            <w:r>
              <w:t xml:space="preserve"> 2026-06-03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电站运营平台锚点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  <w:tr>
        <w:trPr>
          <w:cantSplit w:val="0"/>
        </w:trPr>
        <w:tc>
          <w:tcPr>
            <w:tcW w:type="dxa" w:w="3029"/>
            <w:vAlign w:val="top"/>
          </w:tcPr>
          <w:p>
            <w:pPr>
              <w:pStyle w:val="Compact"/>
              <w:spacing w:before="0" w:after="0" w:line="240" w:lineRule="auto"/>
            </w:pPr>
            <w:hyperlink ns1:id="rId55">
              <w:r>
                <w:rPr>
                  <w:rStyle w:val="Hyperlink"/>
                </w:rPr>
                <w:t xml:space="preserve">CATL: Robin Zeng at World Economic Forum</w:t>
              </w:r>
            </w:hyperlink>
          </w:p>
        </w:tc>
        <w:tc>
          <w:tcPr>
            <w:tcW w:type="dxa" w:w="2131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宁德时代</w:t>
            </w:r>
          </w:p>
        </w:tc>
        <w:tc>
          <w:tcPr>
            <w:tcW w:type="dxa" w:w="1598"/>
            <w:vAlign w:val="top"/>
          </w:tcPr>
          <w:p>
            <w:pPr>
              <w:pStyle w:val="Compact"/>
              <w:spacing w:before="0" w:after="0" w:line="240" w:lineRule="auto"/>
            </w:pPr>
            <w:r>
              <w:t xml:space="preserve">2024-01</w:t>
            </w:r>
          </w:p>
        </w:tc>
        <w:tc>
          <w:tcPr>
            <w:tcW w:type="dxa" w:w="2309"/>
            <w:vAlign w:val="top"/>
          </w:tcPr>
          <w:p>
            <w:pPr>
              <w:pStyle w:val="Compact"/>
              <w:spacing w:before="0" w:after="0" w:line="240" w:lineRule="auto"/>
            </w:pPr>
            <w:r>
              <w:rPr>
                <w:rFonts w:hint="eastAsia"/>
              </w:rPr>
              <w:t xml:space="preserve">代表人物锚点</w:t>
            </w:r>
          </w:p>
        </w:tc>
        <w:tc>
          <w:tcPr>
            <w:tcW w:type="dxa" w:w="933"/>
            <w:vAlign w:val="top"/>
          </w:tcPr>
          <w:p>
            <w:pPr>
              <w:pStyle w:val="Compact"/>
              <w:spacing w:before="0" w:after="0" w:line="240" w:lineRule="auto"/>
              <w:jc w:val="center"/>
            </w:pPr>
            <w:r>
              <w:t xml:space="preserve">medium</w:t>
            </w:r>
          </w:p>
        </w:tc>
      </w:tr>
    </w:tbl>
    <w:bookmarkEnd w:id="56"/>
    <w:bookmarkEnd w:id="57"/>
    <w:sectPr>
      <w:footnotePr>
        <w:numRestart w:val="eachSect"/>
      </w:footnotePr>
      <w:pgSz w:w="11906" w:h="16838"/>
      <w:pgMar w:top="900" w:right="850" w:bottom="900" w:left="850" w:header="450" w:footer="45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app.www.gov.cn/govdata/gov/202509/12/536503/article.html" TargetMode="External" /><Relationship Type="http://schemas.openxmlformats.org/officeDocument/2006/relationships/hyperlink" Id="rId48" Target="https://english.www.gov.cn/archive/statistics/202501/24/content_WS6793830cc6d0868f4e8ef23f.html" TargetMode="External" /><Relationship Type="http://schemas.openxmlformats.org/officeDocument/2006/relationships/hyperlink" Id="rId52" Target="https://www.bydenergy.com/index/" TargetMode="External" /><Relationship Type="http://schemas.openxmlformats.org/officeDocument/2006/relationships/hyperlink" Id="rId51" Target="https://www.catl.com/about/profile/" TargetMode="External" /><Relationship Type="http://schemas.openxmlformats.org/officeDocument/2006/relationships/hyperlink" Id="rId55" Target="https://www.catl.com/en/news/6202.html" TargetMode="External" /><Relationship Type="http://schemas.openxmlformats.org/officeDocument/2006/relationships/hyperlink" Id="rId54" Target="https://www.es.csg.cn/" TargetMode="External" /><Relationship Type="http://schemas.openxmlformats.org/officeDocument/2006/relationships/hyperlink" Id="rId50" Target="https://www.nea.gov.cn/20250731/1d40d09f75714280a9218d5bea178fbd/202507311d40d09f75714280a9218d5bea178fbd_453d9a0609da1d4456a8b12d843bd256cf.pdf" TargetMode="External" /><Relationship Type="http://schemas.openxmlformats.org/officeDocument/2006/relationships/hyperlink" Id="rId47" Target="https://www.nea.gov.cn/20260130/50f657ce87f848e1a9a1861d1fd9aa23/c.html" TargetMode="External" /><Relationship Type="http://schemas.openxmlformats.org/officeDocument/2006/relationships/hyperlink" Id="rId53" Target="https://www.sungrowpower.com/en/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app.www.gov.cn/govdata/gov/202509/12/536503/article.html" TargetMode="External" /><Relationship Type="http://schemas.openxmlformats.org/officeDocument/2006/relationships/hyperlink" Id="rId48" Target="https://english.www.gov.cn/archive/statistics/202501/24/content_WS6793830cc6d0868f4e8ef23f.html" TargetMode="External" /><Relationship Type="http://schemas.openxmlformats.org/officeDocument/2006/relationships/hyperlink" Id="rId52" Target="https://www.bydenergy.com/index/" TargetMode="External" /><Relationship Type="http://schemas.openxmlformats.org/officeDocument/2006/relationships/hyperlink" Id="rId51" Target="https://www.catl.com/about/profile/" TargetMode="External" /><Relationship Type="http://schemas.openxmlformats.org/officeDocument/2006/relationships/hyperlink" Id="rId55" Target="https://www.catl.com/en/news/6202.html" TargetMode="External" /><Relationship Type="http://schemas.openxmlformats.org/officeDocument/2006/relationships/hyperlink" Id="rId54" Target="https://www.es.csg.cn/" TargetMode="External" /><Relationship Type="http://schemas.openxmlformats.org/officeDocument/2006/relationships/hyperlink" Id="rId50" Target="https://www.nea.gov.cn/20250731/1d40d09f75714280a9218d5bea178fbd/202507311d40d09f75714280a9218d5bea178fbd_453d9a0609da1d4456a8b12d843bd256cf.pdf" TargetMode="External" /><Relationship Type="http://schemas.openxmlformats.org/officeDocument/2006/relationships/hyperlink" Id="rId47" Target="https://www.nea.gov.cn/20260130/50f657ce87f848e1a9a1861d1fd9aa23/c.html" TargetMode="External" /><Relationship Type="http://schemas.openxmlformats.org/officeDocument/2006/relationships/hyperlink" Id="rId53" Target="https://www.sungrowpower.com/en/e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中国新型储能行业专家学习报告</dc:title>
  <dc:creator/>
  <cp:keywords/>
  <dcterms:created xsi:type="dcterms:W3CDTF">2026-06-03T07:33:33Z</dcterms:created>
  <dcterms:modified xsi:type="dcterms:W3CDTF">2026-06-03T07:33:33Z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