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Трунев Данила Александрович, 287 группа.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формализовать основные функции системы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50"/>
        <w:ind w:right="76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Создать макеты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согласно структуре сайта. Минимальный набор страниц должен включать.</w: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Главная страница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595">
          <v:rect xmlns:o="urn:schemas-microsoft-com:office:office" xmlns:v="urn:schemas-microsoft-com:vml" id="rectole0000000000" style="width:432.000000pt;height:27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Автризация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094">
          <v:rect xmlns:o="urn:schemas-microsoft-com:office:office" xmlns:v="urn:schemas-microsoft-com:vml" id="rectole0000000001" style="width:432.000000pt;height:2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Корзина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454">
          <v:rect xmlns:o="urn:schemas-microsoft-com:office:office" xmlns:v="urn:schemas-microsoft-com:vml" id="rectole0000000002" style="width:432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Товары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1055">
          <v:rect xmlns:o="urn:schemas-microsoft-com:office:office" xmlns:v="urn:schemas-microsoft-com:vml" id="rectole0000000003" style="width:432.000000pt;height:55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формы включаются в отчет.</w:t>
      </w:r>
    </w:p>
    <w:p>
      <w:pPr>
        <w:numPr>
          <w:ilvl w:val="0"/>
          <w:numId w:val="21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7.32-2017.</w:t>
      </w:r>
    </w:p>
    <w:p>
      <w:pPr>
        <w:numPr>
          <w:ilvl w:val="0"/>
          <w:numId w:val="21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21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 я научился работать в Figmа и смог сверстать макет сайта.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2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onedrive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onedrive.live.com/?authkey=%21APlZuHHsbFcOe1I&amp;cid=FE3B14B048DF764D&amp;id=FE3B14B048DF764D%21303192&amp;parId=FE3B14B048DF764D%21303180&amp;o=OneUp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onedrive.live.com/?authkey=%21AKWGNviI217PL2c&amp;cid=FE3B14B048DF764D&amp;id=FE3B14B048DF764D%21303186&amp;parId=FE3B14B048DF764D%21303180&amp;o=OneUp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www.tsu.ru/upload/medialibrary/8cf/gost_7.32_2017.pdf" Id="docRId8" Type="http://schemas.openxmlformats.org/officeDocument/2006/relationships/hyperlink" /></Relationships>
</file>