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QUY CHẾ KỶ LUẬT LAO ĐỘNG VÀ CHẾ ĐỘ PHÚC LỢI NĂM 2024</w:t>
      </w:r>
    </w:p>
    <w:p>
      <w:pPr>
        <w:pStyle w:val="Heading1"/>
      </w:pPr>
      <w:r>
        <w:t>CHƯƠNG I: QUY ĐỊNH CHUNG VỀ THỜI GIAN LÀM VIỆC</w:t>
      </w:r>
    </w:p>
    <w:p>
      <w:r>
        <w:t>Điều 1: Thời gian làm việc tiêu chuẩn và chấm công</w:t>
        <w:br/>
        <w:t>1. Toàn bộ cán bộ nhân viên làm việc 8 giờ/ngày từ Thứ 2 đến Thứ 6. Giờ làm việc buổi sáng từ 08:30 đến 12:00, buổi chiều từ 13:30 đến 18:00.</w:t>
        <w:br/>
        <w:t>2. Nhân viên có trách nhiệm chấm công bằng ứng dụng nhận diện khuôn mặt (Face Recognition) hoặc trên Website HRM khi đến văn phòng và trước khi ra về.</w:t>
      </w:r>
    </w:p>
    <w:p>
      <w:pPr>
        <w:pStyle w:val="Heading1"/>
      </w:pPr>
      <w:r>
        <w:t>CHƯƠNG II: XỬ LÝ VI PHẠM KỶ LUẬT</w:t>
      </w:r>
    </w:p>
    <w:p>
      <w:r>
        <w:t>Điều 2: Xử lý vi phạm đi làm muộn và nghỉ không phép</w:t>
        <w:br/>
        <w:t>Người lao động đi muộn sau 08:35 sẽ bị tính là đi muộn. Mức độ xử lý vi phạm được quy định chi tiết trong bảng biểu dưới đây: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Hành vi vi phạm</w:t>
            </w:r>
          </w:p>
        </w:tc>
        <w:tc>
          <w:tcPr>
            <w:tcW w:type="dxa" w:w="2160"/>
          </w:tcPr>
          <w:p>
            <w:r>
              <w:t>Vi phạm lần 1</w:t>
            </w:r>
          </w:p>
        </w:tc>
        <w:tc>
          <w:tcPr>
            <w:tcW w:type="dxa" w:w="2160"/>
          </w:tcPr>
          <w:p>
            <w:r>
              <w:t>Vi phạm lần 2</w:t>
            </w:r>
          </w:p>
        </w:tc>
        <w:tc>
          <w:tcPr>
            <w:tcW w:type="dxa" w:w="2160"/>
          </w:tcPr>
          <w:p>
            <w:r>
              <w:t>Vi phạm từ lần 3 trở lên</w:t>
            </w:r>
          </w:p>
        </w:tc>
      </w:tr>
      <w:tr>
        <w:tc>
          <w:tcPr>
            <w:tcW w:type="dxa" w:w="2160"/>
          </w:tcPr>
          <w:p>
            <w:r>
              <w:t>Đi muộn từ 5 - 15 phút</w:t>
            </w:r>
          </w:p>
        </w:tc>
        <w:tc>
          <w:tcPr>
            <w:tcW w:type="dxa" w:w="2160"/>
          </w:tcPr>
          <w:p>
            <w:r>
              <w:t>Nhắc nhở nội bộ</w:t>
            </w:r>
          </w:p>
        </w:tc>
        <w:tc>
          <w:tcPr>
            <w:tcW w:type="dxa" w:w="2160"/>
          </w:tcPr>
          <w:p>
            <w:r>
              <w:t>Trừ 50.000 VNĐ vào phụ cấp</w:t>
            </w:r>
          </w:p>
        </w:tc>
        <w:tc>
          <w:tcPr>
            <w:tcW w:type="dxa" w:w="2160"/>
          </w:tcPr>
          <w:p>
            <w:r>
              <w:t>Trừ 100.000 VNĐ / lần</w:t>
            </w:r>
          </w:p>
        </w:tc>
      </w:tr>
      <w:tr>
        <w:tc>
          <w:tcPr>
            <w:tcW w:type="dxa" w:w="2160"/>
          </w:tcPr>
          <w:p>
            <w:r>
              <w:t>Đi muộn trên 30 phút</w:t>
            </w:r>
          </w:p>
        </w:tc>
        <w:tc>
          <w:tcPr>
            <w:tcW w:type="dxa" w:w="2160"/>
          </w:tcPr>
          <w:p>
            <w:r>
              <w:t>Trừ 0.5 ngày công</w:t>
            </w:r>
          </w:p>
        </w:tc>
        <w:tc>
          <w:tcPr>
            <w:tcW w:type="dxa" w:w="2160"/>
          </w:tcPr>
          <w:p>
            <w:r>
              <w:t>Trừ 1 ngày công</w:t>
            </w:r>
          </w:p>
        </w:tc>
        <w:tc>
          <w:tcPr>
            <w:tcW w:type="dxa" w:w="2160"/>
          </w:tcPr>
          <w:p>
            <w:r>
              <w:t>Họp kỷ luật khiển trách</w:t>
            </w:r>
          </w:p>
        </w:tc>
      </w:tr>
      <w:tr>
        <w:tc>
          <w:tcPr>
            <w:tcW w:type="dxa" w:w="2160"/>
          </w:tcPr>
          <w:p>
            <w:r>
              <w:t>Tự ý nghỉ việc không phép</w:t>
            </w:r>
          </w:p>
        </w:tc>
        <w:tc>
          <w:tcPr>
            <w:tcW w:type="dxa" w:w="2160"/>
          </w:tcPr>
          <w:p>
            <w:r>
              <w:t>Cắt thưởng tháng</w:t>
            </w:r>
          </w:p>
        </w:tc>
        <w:tc>
          <w:tcPr>
            <w:tcW w:type="dxa" w:w="2160"/>
          </w:tcPr>
          <w:p>
            <w:r>
              <w:t>Trừ 2 ngày lương</w:t>
            </w:r>
          </w:p>
        </w:tc>
        <w:tc>
          <w:tcPr>
            <w:tcW w:type="dxa" w:w="2160"/>
          </w:tcPr>
          <w:p>
            <w:r>
              <w:t>Xem xét sa thải theo luật</w:t>
            </w:r>
          </w:p>
        </w:tc>
      </w:tr>
    </w:tbl>
    <w:p>
      <w:pPr>
        <w:pStyle w:val="Heading1"/>
      </w:pPr>
      <w:r>
        <w:t>CHƯƠNG III: CHẾ ĐỘ PHÚC LỢI VÀ NGHỈ PHÉP ĐẶC BIỆT</w:t>
      </w:r>
    </w:p>
    <w:p>
      <w:r>
        <w:t>Điều 3: Chế độ kết hôn, thai sản và hiếu hỷ</w:t>
        <w:br/>
        <w:t>1. Nhân viên chính thức kết hôn được nghỉ 03 ngày có hưởng nguyên lương theo luật lao động.</w:t>
        <w:br/>
        <w:t>2. Công ty hỗ trợ tiền mừng và quà chúc mừng theo bảng phúc lợi ban hành: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Sự kiện</w:t>
            </w:r>
          </w:p>
        </w:tc>
        <w:tc>
          <w:tcPr>
            <w:tcW w:type="dxa" w:w="2880"/>
          </w:tcPr>
          <w:p>
            <w:r>
              <w:t>Số ngày nghỉ có lương</w:t>
            </w:r>
          </w:p>
        </w:tc>
        <w:tc>
          <w:tcPr>
            <w:tcW w:type="dxa" w:w="2880"/>
          </w:tcPr>
          <w:p>
            <w:r>
              <w:t>Mức tiền mừng từ Quỹ Công đoàn</w:t>
            </w:r>
          </w:p>
        </w:tc>
      </w:tr>
      <w:tr>
        <w:tc>
          <w:tcPr>
            <w:tcW w:type="dxa" w:w="2880"/>
          </w:tcPr>
          <w:p>
            <w:r>
              <w:t>Nhân viên kết hôn</w:t>
            </w:r>
          </w:p>
        </w:tc>
        <w:tc>
          <w:tcPr>
            <w:tcW w:type="dxa" w:w="2880"/>
          </w:tcPr>
          <w:p>
            <w:r>
              <w:t>03 ngày</w:t>
            </w:r>
          </w:p>
        </w:tc>
        <w:tc>
          <w:tcPr>
            <w:tcW w:type="dxa" w:w="2880"/>
          </w:tcPr>
          <w:p>
            <w:r>
              <w:t>2.000.000 VNĐ + Quà lưu niệm</w:t>
            </w:r>
          </w:p>
        </w:tc>
      </w:tr>
      <w:tr>
        <w:tc>
          <w:tcPr>
            <w:tcW w:type="dxa" w:w="2880"/>
          </w:tcPr>
          <w:p>
            <w:r>
              <w:t>Con của nhân viên kết hôn</w:t>
            </w:r>
          </w:p>
        </w:tc>
        <w:tc>
          <w:tcPr>
            <w:tcW w:type="dxa" w:w="2880"/>
          </w:tcPr>
          <w:p>
            <w:r>
              <w:t>01 ngày</w:t>
            </w:r>
          </w:p>
        </w:tc>
        <w:tc>
          <w:tcPr>
            <w:tcW w:type="dxa" w:w="2880"/>
          </w:tcPr>
          <w:p>
            <w:r>
              <w:t>1.000.000 VNĐ</w:t>
            </w:r>
          </w:p>
        </w:tc>
      </w:tr>
      <w:tr>
        <w:tc>
          <w:tcPr>
            <w:tcW w:type="dxa" w:w="2880"/>
          </w:tcPr>
          <w:p>
            <w:r>
              <w:t>Nhân viên nữ sinh con</w:t>
            </w:r>
          </w:p>
        </w:tc>
        <w:tc>
          <w:tcPr>
            <w:tcW w:type="dxa" w:w="2880"/>
          </w:tcPr>
          <w:p>
            <w:r>
              <w:t>06 tháng (theo BHXH)</w:t>
            </w:r>
          </w:p>
        </w:tc>
        <w:tc>
          <w:tcPr>
            <w:tcW w:type="dxa" w:w="2880"/>
          </w:tcPr>
          <w:p>
            <w:r>
              <w:t>3.000.000 VNĐ + 01 giỏ quà mẹ bé</w:t>
            </w:r>
          </w:p>
        </w:tc>
      </w:tr>
    </w:tbl>
    <w:p>
      <w:pPr>
        <w:pStyle w:val="Heading1"/>
      </w:pPr>
      <w:r>
        <w:t>CHƯƠNG IV: QUY ĐỊNH LÀM VIỆC TỪ XA (REMOTE WORK 2024)</w:t>
      </w:r>
    </w:p>
    <w:p>
      <w:r>
        <w:t>Điều 4: Nhân viên được phép đăng ký làm việc tại nhà (Work from Home) tối đa 2 ngày/tháng với điều kiện hoàn thành 100% KPI.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