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-01-kế-hoạch-công-tác-khoa"/>
      <w:r>
        <w:t xml:space="preserve">C-01 — KẾ HOẠCH CÔNG TÁC KHOA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Một lần/năm học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Kế hoạch công tác năm của Khoa (P28, QT-KH). Là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đầu vào chính thức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hầu hết các quy trình khác trong năm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tổng hợp; hai PTK soạn phụ lục mảng · Ký nháy: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Đào tạo và PTK KHCN &amp; CTSV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(2 người – đúng giới hạn) · Ký: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Mẫu 33 – Kế hoạch</w:t>
            </w:r>
            <w:r>
              <w:rPr>
                <w:rFonts w:ascii="Times New Roman" w:hAnsi="Times New Roman"/>
                <w:sz w:val="22"/>
              </w:rPr>
              <w:t xml:space="preserve">: có số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……/KH-KNH</w:t>
            </w:r>
            <w:r>
              <w:rPr>
                <w:rFonts w:ascii="Times New Roman" w:hAnsi="Times New Roman"/>
                <w:sz w:val="22"/>
              </w:rPr>
              <w:t xml:space="preserve">, có Quốc hiệu, có địa danh – ngày;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có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“</w:t>
            </w:r>
            <w:r>
              <w:rPr>
                <w:rFonts w:ascii="Times New Roman" w:hAnsi="Times New Roman"/>
                <w:b/>
                <w:sz w:val="22"/>
              </w:rPr>
              <w:t xml:space="preserve">Kính gửi</w:t>
            </w:r>
            <w:r>
              <w:rPr>
                <w:rFonts w:ascii="Times New Roman" w:hAnsi="Times New Roman"/>
                <w:b/>
                <w:sz w:val="22"/>
              </w:rPr>
              <w:t xml:space="preserve">”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Kênh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EOFFICE nội bộ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Nguồn dữ liệu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năm trước lấy từ Sổ quản trị và bản xuất thống kê phần mềm QLKH (N08) –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yêu cầu Bộ môn khai lại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Cấu trúc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Thân kế hoạch ngắn (2–3 trang) +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3 phụ lục theo mảng</w:t>
            </w:r>
            <w:r>
              <w:rPr>
                <w:rFonts w:ascii="Times New Roman" w:hAnsi="Times New Roman"/>
                <w:sz w:val="22"/>
              </w:rPr>
              <w:t xml:space="preserve">, mỗi phụ lục do người phụ trách mảng soạn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 là bản gốc; PDF lên Kho minh chứng theo TQ-05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……/KH-KNH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KẾ HOẠCH</w:t>
      </w:r>
    </w:p>
    <w:p>
      <w:pPr>
        <w:pStyle w:val="BodyText"/>
      </w:pPr>
      <w:r>
        <w:rPr>
          <w:b/>
        </w:rPr>
        <w:t xml:space="preserve">Công tác năm học 20…–20… của Khoa Ngân hàng</w:t>
      </w:r>
    </w:p>
    <w:p>
      <w:pPr>
        <w:pStyle w:val="BodyText"/>
      </w:pPr>
      <w:r>
        <w:rPr>
          <w:b/>
        </w:rPr>
        <w:t xml:space="preserve">I. MỤC ĐÍCH, YÊU CẦU</w:t>
      </w:r>
    </w:p>
    <w:p>
      <w:pPr>
        <w:numPr>
          <w:ilvl w:val="0"/>
          <w:numId w:val="1001"/>
        </w:numPr>
        <w:pStyle w:val="Compact"/>
      </w:pPr>
      <w:r>
        <w:t xml:space="preserve">&lt;Mục tiêu năm học của Khoa, bám nhiệm vụ trọng tâm của Học viện.&gt;</w:t>
      </w:r>
    </w:p>
    <w:p>
      <w:pPr>
        <w:numPr>
          <w:ilvl w:val="0"/>
          <w:numId w:val="1001"/>
        </w:numPr>
        <w:pStyle w:val="Compact"/>
      </w:pPr>
      <w:r>
        <w:t xml:space="preserve">&lt;Yêu cầu về tiến độ, chất lượng, phối hợp.&gt;</w:t>
      </w:r>
    </w:p>
    <w:p>
      <w:pPr>
        <w:pStyle w:val="FirstParagraph"/>
      </w:pPr>
      <w:r>
        <w:rPr>
          <w:b/>
        </w:rPr>
        <w:t xml:space="preserve">II. ĐÁNH GIÁ NGẮN KẾT QUẢ NĂM HỌC TRƯỚC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Mảng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tiêu chính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 năm trước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 số liệu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Đào tạo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Sổ quản trị – trang tính Học phần theo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Khoa học công nghệ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xuất thống kê phần mềm QLKH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Công tác sinh viên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Sổ quản trị – trang tính Sự kiện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Nhân sự – hành chính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Sổ quản trị – trang tính Phát triển chuyên môn GV</w:t>
            </w:r>
          </w:p>
        </w:tc>
      </w:tr>
    </w:tbl>
    <w:p>
      <w:pPr>
        <w:pStyle w:val="BodyText"/>
      </w:pPr>
      <w:r>
        <w:rPr>
          <w:b/>
        </w:rPr>
        <w:t xml:space="preserve">III. NHIỆM VỤ TRỌNG TÂM NĂM HỌC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Nhiệm vụ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chủ trì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Phối hợp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gian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Sản phẩm / chỉ tiêu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Chi tiết từng mảng tại Phụ lục 01, 02, 03 kèm theo.</w:t>
      </w:r>
    </w:p>
    <w:p>
      <w:pPr>
        <w:pStyle w:val="BodyText"/>
      </w:pPr>
      <w:r>
        <w:rPr>
          <w:b/>
        </w:rPr>
        <w:t xml:space="preserve">IV. TỔ CHỨC THỰC HIỆN</w:t>
      </w:r>
    </w:p>
    <w:p>
      <w:pPr>
        <w:numPr>
          <w:ilvl w:val="0"/>
          <w:numId w:val="1002"/>
        </w:numPr>
        <w:pStyle w:val="Compact"/>
      </w:pPr>
      <w:r>
        <w:t xml:space="preserve">&lt;Phân công chung: mỗi PTK chịu trách nhiệm phụ lục mảng của mình; Trưởng Bộ môn cụ thể hóa cho Bộ môn.&gt;</w:t>
      </w:r>
    </w:p>
    <w:p>
      <w:pPr>
        <w:numPr>
          <w:ilvl w:val="0"/>
          <w:numId w:val="1002"/>
        </w:numPr>
        <w:pStyle w:val="Compact"/>
      </w:pPr>
      <w:r>
        <w:t xml:space="preserve">Tiến độ và kết quả thực hiện được theo dõi trên</w:t>
      </w:r>
      <w:r>
        <w:t xml:space="preserve"> </w:t>
      </w:r>
      <w:r>
        <w:rPr>
          <w:b/>
        </w:rPr>
        <w:t xml:space="preserve">Sổ quản trị Khoa</w:t>
      </w:r>
      <w:r>
        <w:t xml:space="preserve">; Khoa sơ kết học kỳ I và tổng kết năm học.</w:t>
      </w:r>
    </w:p>
    <w:p>
      <w:pPr>
        <w:numPr>
          <w:ilvl w:val="0"/>
          <w:numId w:val="1002"/>
        </w:numPr>
        <w:pStyle w:val="Compact"/>
      </w:pPr>
      <w:r>
        <w:t xml:space="preserve">&lt;Đề xuất, kiến nghị với Học viện, nếu có.&gt;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Ban Giám đốc Học viện (để báo cáo);</w:t>
            </w:r>
            <w:r>
              <w:rPr>
                <w:rFonts w:ascii="Times New Roman" w:hAnsi="Times New Roman"/>
                <w:b/>
                <w:sz w:val="22"/>
              </w:rPr>
              <w:br/>
              <w:t>- Các Bộ môn, giảng viên trong Khoa (để thực hiện);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Heading2"/>
      </w:pPr>
      <w:bookmarkStart w:id="23" w:name="X7293b1d46bf1f520866d2e7325977e77a5c8a4c"/>
      <w:r>
        <w:t xml:space="preserve">Phần 3. Ba phụ lục theo mảng</w:t>
      </w:r>
      <w:r>
        <w:t xml:space="preserve"> </w:t>
      </w:r>
      <w:r>
        <w:rPr>
          <w:i/>
        </w:rPr>
        <w:t xml:space="preserve">(in kèm kế hoạch)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Phụ lục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Tên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soạn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tối thiểu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01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 hoạch mảng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Mở lớp và phân công theo kỳ · rà soát đề cương · lịch rà soát CTĐT của 5 CTĐT · mốc thi, chấm, tổng kết học phần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02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 hoạch mảng khoa học công nghệ và công tác sinh viên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KHCN &amp; CTSV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Các đợt đề xuất KHCN theo thông báo của Học viện · hội thảo, tọa đàm, cuộc thi · hoạt động sinh viên, Liên chi đoàn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03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 hoạch nhân sự – hành chính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(TK duyệt nội dung)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Đào tạo bồi dưỡng, đi thực tế · cố vấn học tập · lịch trực khoa · mốc đánh giá giảng viên</w:t>
            </w:r>
          </w:p>
        </w:tc>
      </w:tr>
    </w:tbl>
    <w:p>
      <w:pPr>
        <w:pStyle w:val="BodyText"/>
      </w:pPr>
      <w:r>
        <w:rPr>
          <w:b/>
        </w:rPr>
        <w:t xml:space="preserve">Khung chung của mỗi phụ lục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công việc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chủ trì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Phối hợp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gian bắt đầu – kết thúc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Sản phẩm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Quy trình liên quan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QT-…</w:t>
            </w:r>
          </w:p>
        </w:tc>
      </w:tr>
    </w:tbl>
    <w:p>
      <w:pPr>
        <w:pStyle w:val="BodyText"/>
      </w:pPr>
      <w:r>
        <w:rPr>
          <w:i/>
        </w:rPr>
        <w:t xml:space="preserve">Kiểm trước khi trình: mỗi dòng phải chỉ đúng một quy trình trong danh mục TQ-01 Mục 4.2; việc không thuộc quy trình nào thì ghi rõ lý 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2026-09-30T22:05:21Z</dcterms:created>
  <dcterms:modified xsi:type="dcterms:W3CDTF">2026-09-30T22:05:21Z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