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-06-quyết-định-nội-bộ-cá-biệt-của-khoa"/>
      <w:r>
        <w:t xml:space="preserve">C-06 — QUYẾT ĐỊNH NỘI BỘ CÁ BIỆT CỦA KHOA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cần một văn bản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phân công người, công nhận kết quả hoặc khen thưởng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ở cấp Khoa, có hiệu lực trong một thời hạn xác định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 dùng khi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Việc chỉ cần ghi Sổ, hoặc đã được phê duyệt trên luồng EOFFICE bằng danh sách C-08. Việc thành lập Ban tổ chức dùng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C-03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(cùng khuôn, nội dung cố định).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Phân công cố vấn học tập: không dùng C-06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Giám đốc Học viện ký Quyết định, Khoa chỉ đề xuất danh sách C-08 (QT-CV, P17; quyết định 24/9/2026)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Thẩm quyền ban hành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Khoa ban hành Quyết định nội bộ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trong phạm vi chức năng, nhiệm vụ của Khoa; văn bản lưu nội bộ, không phát hành ra ngoài Học viện (TQ-01 Mục 6.6)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Theo TQ-03 (bảng Phần 3). Khi người ký vắng hoặc bận: ký thay theo TQ-01 Mục 5.6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Ký nháy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Trên luồng EOFFICE, tối đa 2 người theo TQ-03.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có cột ký nháy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trong khối chữ ký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Căn cứ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Chỉ dùng văn bản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chính thức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đã có trong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docs/references/Chinh_thuc/</w:t>
            </w:r>
            <w:r>
              <w:rPr>
                <w:rFonts w:ascii="Times New Roman" w:hAnsi="Times New Roman"/>
                <w:sz w:val="22"/>
              </w:rPr>
              <w:t xml:space="preserve">. Không dùng văn bản (Dự thảo) và không dùng tài liệu nội bộ TQ-01…05 làm căn cứ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 kèm theo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Từ 5 người trở lên: đưa xuống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Phụ lục</w:t>
            </w:r>
            <w:r>
              <w:rPr>
                <w:rFonts w:ascii="Times New Roman" w:hAnsi="Times New Roman"/>
                <w:sz w:val="22"/>
              </w:rPr>
              <w:t xml:space="preserve">, bảng theo mẫu ở Phần 4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minh chứng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Cấp một lần trên Sổ trước khi trình; ghi ở chân trang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……/QĐ-KNH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QUYẾT ĐỊNH</w:t>
      </w:r>
    </w:p>
    <w:p>
      <w:pPr>
        <w:pStyle w:val="BodyText"/>
      </w:pPr>
      <w:r>
        <w:rPr>
          <w:b/>
        </w:rPr>
        <w:t xml:space="preserve">Về việc &lt;nội dung quyết định – xem Phần 3&gt;</w:t>
      </w:r>
    </w:p>
    <w:p>
      <w:pPr>
        <w:pStyle w:val="BodyText"/>
      </w:pPr>
      <w:r>
        <w:rPr>
          <w:b/>
        </w:rPr>
        <w:t xml:space="preserve">TRƯỞNG KHOA NGÂN HÀNG</w:t>
      </w:r>
    </w:p>
    <w:p>
      <w:pPr>
        <w:pStyle w:val="BodyText"/>
      </w:pPr>
      <w:r>
        <w:rPr>
          <w:i/>
        </w:rPr>
        <w:t xml:space="preserve">Căn cứ &lt;văn bản quy định chức năng, nhiệm vụ, quyền hạn của Khoa&gt;;</w:t>
      </w:r>
    </w:p>
    <w:p>
      <w:pPr>
        <w:pStyle w:val="BodyText"/>
      </w:pPr>
      <w:r>
        <w:rPr>
          <w:i/>
        </w:rPr>
        <w:t xml:space="preserve">Căn cứ &lt;văn bản chuyên môn chính thức – số hiệu, ngày ban hành, điều khoản viện dẫn&gt;;</w:t>
      </w:r>
    </w:p>
    <w:p>
      <w:pPr>
        <w:pStyle w:val="BodyText"/>
      </w:pPr>
      <w:r>
        <w:rPr>
          <w:i/>
        </w:rPr>
        <w:t xml:space="preserve">Xét đề nghị của &lt;chức danh người đề nghị theo Phần 3&gt;.</w:t>
      </w:r>
    </w:p>
    <w:p>
      <w:pPr>
        <w:pStyle w:val="BodyText"/>
      </w:pPr>
      <w:r>
        <w:rPr>
          <w:b/>
        </w:rPr>
        <w:t xml:space="preserve">QUYẾT ĐỊNH:</w:t>
      </w:r>
    </w:p>
    <w:p>
      <w:pPr>
        <w:pStyle w:val="BodyText"/>
      </w:pPr>
      <w:r>
        <w:rPr>
          <w:b/>
        </w:rPr>
        <w:t xml:space="preserve">Điều 1.</w:t>
      </w:r>
      <w:r>
        <w:t xml:space="preserve"> </w:t>
      </w:r>
      <w:r>
        <w:t xml:space="preserve">&lt;Nội dung quyết định: phân công / công nhận / khen thưởng ai, làm gì, phạm vi nào&gt;.</w:t>
      </w:r>
      <w:r>
        <w:t xml:space="preserve"> </w:t>
      </w:r>
      <w:r>
        <w:rPr>
          <w:i/>
        </w:rPr>
        <w:t xml:space="preserve">(Danh sách chi tiết tại Phụ lục kèm theo Quyết định này.)</w:t>
      </w:r>
    </w:p>
    <w:p>
      <w:pPr>
        <w:pStyle w:val="BodyText"/>
      </w:pPr>
      <w:r>
        <w:rPr>
          <w:b/>
        </w:rPr>
        <w:t xml:space="preserve">Điều 2.</w:t>
      </w:r>
      <w:r>
        <w:t xml:space="preserve"> </w:t>
      </w:r>
      <w:r>
        <w:t xml:space="preserve">&lt;Nhiệm vụ, quyền hạn của người được phân công; hoặc mức và hình thức khen thưởng; điều kiện thay đổi, bổ sung.&gt;</w:t>
      </w:r>
    </w:p>
    <w:p>
      <w:pPr>
        <w:pStyle w:val="BodyText"/>
      </w:pPr>
      <w:r>
        <w:rPr>
          <w:b/>
        </w:rPr>
        <w:t xml:space="preserve">Điều 3.</w:t>
      </w:r>
      <w:r>
        <w:t xml:space="preserve"> </w:t>
      </w:r>
      <w:r>
        <w:t xml:space="preserve">Quyết định có hiệu lực kể từ ngày ký đến &lt;ngày / kết thúc năm học 20…–20…&gt;. &lt;Quyết định số … ngày … hết hiệu lực kể từ ngày Quyết định này có hiệu lực, nếu có.&gt;</w:t>
      </w:r>
    </w:p>
    <w:p>
      <w:pPr>
        <w:pStyle w:val="BodyText"/>
      </w:pPr>
      <w:r>
        <w:rPr>
          <w:b/>
        </w:rPr>
        <w:t xml:space="preserve">Điều 4.</w:t>
      </w:r>
      <w:r>
        <w:t xml:space="preserve"> </w:t>
      </w:r>
      <w:r>
        <w:t xml:space="preserve">&lt;Các đơn vị, cá nhân liên quan&gt; và &lt;người có tên tại Điều 1 / Phụ lục&gt; chịu trách nhiệm thi hành Quyết định này./.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Nơi nhận: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>- Như Điều 4;</w:t>
            </w:r>
            <w:r>
              <w:rPr>
                <w:rFonts w:ascii="Times New Roman" w:hAnsi="Times New Roman"/>
                <w:b/>
                <w:sz w:val="22"/>
              </w:rPr>
              <w:br/>
              <w:t>- &lt;Đơn vị, cá nhân liên quan&gt;;</w:t>
            </w:r>
            <w:r>
              <w:rPr>
                <w:rFonts w:ascii="Times New Roman" w:hAnsi="Times New Roman"/>
                <w:b/>
                <w:sz w:val="22"/>
              </w:rPr>
              <w:br/>
              <w:t>- Lưu: VT, KNH.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&lt;CHỨC DANH NGƯỜI KÝ&gt;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Heading2"/>
      </w:pPr>
      <w:bookmarkStart w:id="23" w:name="phần-3.-năm-biến-thể-không-in-kèm"/>
      <w:r>
        <w:t xml:space="preserve">Phần 3. Năm biến thể</w:t>
      </w:r>
      <w:r>
        <w:t xml:space="preserve"> </w:t>
      </w:r>
      <w:r>
        <w:rPr>
          <w:i/>
        </w:rPr>
        <w:t xml:space="preserve">(không in kèm)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Việc (TQ-03)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Trích yếu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“</w:t>
            </w:r>
            <w:r>
              <w:rPr>
                <w:rFonts w:ascii="Times New Roman" w:hAnsi="Times New Roman"/>
                <w:b/>
                <w:sz w:val="22"/>
              </w:rPr>
              <w:t xml:space="preserve">Về việc …</w:t>
            </w:r>
            <w:r>
              <w:rPr>
                <w:rFonts w:ascii="Times New Roman" w:hAnsi="Times New Roman"/>
                <w:b/>
                <w:sz w:val="22"/>
              </w:rPr>
              <w:t xml:space="preserve">”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lập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Ký nháy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ký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Xét đề nghị của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P13 Phân công Module leader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phân công giảng viên phụ trách nhóm môn năm học 20…–20…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Đào tạo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Đào tạo (người lập)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TK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Phó Trưởng khoa phụ trách đào tạo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P07 Phân công GVHD và hội đồng khóa luận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phân công giảng viên hướng dẫn và hội đồng chấm khóa luận đợt … năm học 20…–20…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 (người lập)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TK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Bộ môn …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P21 Công nhận kết quả, khen thưởng cuộc thi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công nhận kết quả và khen thưởng cuộc thi &lt;tên&gt;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Ban tổ chức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BTC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KHCN &amp; CTSV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Ban tổ chức cuộc thi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P24 Khen thưởng sinh viên cấp Khoa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khen thưởng sinh viên có thành tích &lt;nội dung&gt; năm học 20…–20…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BCH Liên chi đoàn (qua GV phụ trách)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Bí thư Liên chi đoàn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TK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Ban Chấp hành Liên chi đoàn Khoa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P37 Thành lập, kiện toàn Hội đồng KH&amp;ĐT Khoa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thành lập (kiện toàn) Hội đồng Khoa học và Đào tạo Khoa Ngân hàng nhiệm kỳ 20…–20…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(theo chỉ đạo của TK)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TK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Phó Trưởng khoa phụ trách Đào tạo và Trợ lý Khoa</w:t>
            </w:r>
          </w:p>
        </w:tc>
      </w:tr>
    </w:tbl>
    <w:p>
      <w:pPr>
        <w:pStyle w:val="BodyText"/>
      </w:pPr>
      <w:r>
        <w:rPr>
          <w:b/>
        </w:rPr>
        <w:t xml:space="preserve">Điều 2 theo biến thể: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P13</w:t>
      </w:r>
      <w:r>
        <w:t xml:space="preserve"> </w:t>
      </w:r>
      <w:r>
        <w:t xml:space="preserve">– nhiệm vụ của Module leader: đề cương, thống nhất giảng dạy, đề thi, đánh giá, tổng kết học phần; quyền điều phối giảng viên của nhóm môn</w:t>
      </w:r>
      <w:r>
        <w:t xml:space="preserve"> </w:t>
      </w:r>
      <w:r>
        <w:rPr>
          <w:b/>
        </w:rPr>
        <w:t xml:space="preserve">kể cả giảng viên thuộc Bộ môn khác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P07</w:t>
      </w:r>
      <w:r>
        <w:t xml:space="preserve"> </w:t>
      </w:r>
      <w:r>
        <w:t xml:space="preserve">– trách nhiệm của giảng viên hướng dẫn và của hội đồng; số lượng sinh viên tối đa mỗi giảng viên hướng dẫn.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P21, P24</w:t>
      </w:r>
      <w:r>
        <w:t xml:space="preserve"> </w:t>
      </w:r>
      <w:r>
        <w:t xml:space="preserve">– hình thức và mức khen thưởng; nguồn kinh phí. Với P24, mỗi sinh viên có tên được cấp Giấy chứng nhận SV-01 (QT-SV bước C4).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P37</w:t>
      </w:r>
      <w:r>
        <w:t xml:space="preserve"> </w:t>
      </w:r>
      <w:r>
        <w:t xml:space="preserve">– Điều 2 ghi</w:t>
      </w:r>
      <w:r>
        <w:t xml:space="preserve"> </w:t>
      </w:r>
      <w:r>
        <w:rPr>
          <w:b/>
        </w:rPr>
        <w:t xml:space="preserve">quy tắc vận hành của Hội đồng</w:t>
      </w:r>
      <w:r>
        <w:t xml:space="preserve">: danh mục hồ sơ bắt buộc thẩm định (thay đổi CTĐT và PLO; thay đổi CLO hoặc số tín chỉ học phần; bản thảo giáo trình, tài liệu giảng dạy); túc số phiên họp; tỷ lệ thông qua; hồ sơ phải bỏ phiếu kín; cách khai báo và xử lý xung đột lợi ích; người chủ trì và người ký khi Chủ tịch vắng. Nơi nhận có thêm Phòng Đào tạo, Viện Nghiên cứu khoa học Ngân hàng (để phối hợp).</w:t>
      </w:r>
    </w:p>
    <w:p>
      <w:pPr>
        <w:pStyle w:val="Heading2"/>
      </w:pPr>
      <w:bookmarkStart w:id="24" w:name="X5229d1c5339b4be3bd408b9da6bb917ad1fab4e"/>
      <w:r>
        <w:t xml:space="preserve">Phần 4. Phụ lục danh sách kèm theo</w:t>
      </w:r>
      <w:r>
        <w:t xml:space="preserve"> </w:t>
      </w:r>
      <w:r>
        <w:rPr>
          <w:i/>
        </w:rPr>
        <w:t xml:space="preserve">(dùng khi từ 5 người trở lên)</w:t>
      </w:r>
      <w:bookmarkEnd w:id="24"/>
    </w:p>
    <w:p>
      <w:pPr>
        <w:pStyle w:val="FirstParagraph"/>
      </w:pPr>
      <w:r>
        <w:rPr>
          <w:b/>
        </w:rPr>
        <w:t xml:space="preserve">PHỤ LỤC</w:t>
      </w:r>
    </w:p>
    <w:p>
      <w:pPr>
        <w:pStyle w:val="BodyText"/>
      </w:pPr>
      <w:r>
        <w:rPr>
          <w:i/>
        </w:rPr>
        <w:t xml:space="preserve">(Kèm theo Quyết định số ……/QĐ-KNH ngày … tháng … năm 20… của Trưởng khoa Khoa Ngân hàng)</w:t>
      </w:r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1680"/>
        <w:gridCol w:w="1680"/>
        <w:gridCol w:w="1680"/>
        <w:gridCol w:w="1680"/>
        <w:gridCol w:w="168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STT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Họ và tên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Đơn vị / Bộ môn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phân công (nhóm môn / lớp / sinh viên hướng dẫn / thành tích)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Thời hạn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Ghi chú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680"/>
          </w:tcPr>
          <w:p>
            <w:pPr>
              <w:spacing w:after="20"/>
            </w:pPr>
          </w:p>
        </w:tc>
        <w:tc>
          <w:tcPr>
            <w:tcW w:type="dxa" w:w="1680"/>
          </w:tcPr>
          <w:p>
            <w:pPr>
              <w:spacing w:after="20"/>
            </w:pPr>
          </w:p>
        </w:tc>
        <w:tc>
          <w:tcPr>
            <w:tcW w:type="dxa" w:w="1680"/>
          </w:tcPr>
          <w:p>
            <w:pPr>
              <w:spacing w:after="20"/>
            </w:pPr>
          </w:p>
        </w:tc>
        <w:tc>
          <w:tcPr>
            <w:tcW w:type="dxa" w:w="1680"/>
          </w:tcPr>
          <w:p>
            <w:pPr>
              <w:spacing w:after="20"/>
            </w:pPr>
          </w:p>
        </w:tc>
        <w:tc>
          <w:tcPr>
            <w:tcW w:type="dxa" w:w="1680"/>
          </w:tcPr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Danh sách gồm … người./.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C-06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2026-09-30T22:05:22Z</dcterms:created>
  <dcterms:modified xsi:type="dcterms:W3CDTF">2026-09-30T22:05:22Z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